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12.xml" ContentType="application/vnd.openxmlformats-officedocument.drawingml.chart+xml"/>
  <Override PartName="/word/charts/chart13.xml" ContentType="application/vnd.openxmlformats-officedocument.drawingml.chart+xml"/>
  <Override PartName="/word/charts/style7.xml" ContentType="application/vnd.ms-office.chartstyle+xml"/>
  <Override PartName="/word/charts/colors7.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E1116B" w14:textId="77777777" w:rsidR="007F2637" w:rsidRDefault="007F2637" w:rsidP="007F2637">
      <w:pPr>
        <w:tabs>
          <w:tab w:val="left" w:pos="5180"/>
        </w:tabs>
        <w:spacing w:line="360" w:lineRule="auto"/>
        <w:rPr>
          <w:rFonts w:ascii="Arial" w:eastAsia="Times New Roman" w:hAnsi="Arial" w:cs="Arial"/>
          <w:color w:val="000000"/>
          <w:sz w:val="24"/>
          <w:szCs w:val="24"/>
          <w:lang w:bidi="en-US"/>
        </w:rPr>
      </w:pPr>
      <w:bookmarkStart w:id="0" w:name="_GoBack"/>
      <w:bookmarkEnd w:id="0"/>
    </w:p>
    <w:p w14:paraId="78663519" w14:textId="77777777" w:rsidR="007F2637" w:rsidRDefault="007F2637" w:rsidP="007F2637">
      <w:pPr>
        <w:spacing w:line="360" w:lineRule="auto"/>
        <w:jc w:val="center"/>
        <w:rPr>
          <w:rFonts w:ascii="Arial" w:eastAsia="Times New Roman" w:hAnsi="Arial" w:cs="Arial"/>
          <w:color w:val="000000"/>
          <w:sz w:val="24"/>
          <w:szCs w:val="24"/>
          <w:lang w:bidi="en-US"/>
        </w:rPr>
      </w:pPr>
    </w:p>
    <w:p w14:paraId="31C3C2FD" w14:textId="77777777" w:rsidR="007F2637" w:rsidRDefault="007F2637" w:rsidP="007F2637">
      <w:pPr>
        <w:spacing w:line="360" w:lineRule="auto"/>
        <w:jc w:val="center"/>
        <w:rPr>
          <w:rFonts w:ascii="Arial" w:eastAsia="Times New Roman" w:hAnsi="Arial" w:cs="Arial"/>
          <w:b/>
          <w:color w:val="000000"/>
          <w:sz w:val="40"/>
          <w:szCs w:val="52"/>
          <w:lang w:bidi="en-US"/>
        </w:rPr>
      </w:pPr>
    </w:p>
    <w:p w14:paraId="3E1C33DC" w14:textId="65A218F3" w:rsidR="007F2637" w:rsidRDefault="00C9214D" w:rsidP="007F2637">
      <w:pPr>
        <w:spacing w:line="360" w:lineRule="auto"/>
        <w:jc w:val="center"/>
        <w:rPr>
          <w:rFonts w:ascii="Arial" w:eastAsia="Times New Roman" w:hAnsi="Arial" w:cs="Arial"/>
          <w:b/>
          <w:color w:val="000000"/>
          <w:sz w:val="40"/>
          <w:szCs w:val="52"/>
          <w:lang w:bidi="en-US"/>
        </w:rPr>
      </w:pPr>
      <w:r>
        <w:rPr>
          <w:noProof/>
          <w:lang w:eastAsia="es-MX"/>
        </w:rPr>
        <w:drawing>
          <wp:anchor distT="0" distB="0" distL="114300" distR="114300" simplePos="0" relativeHeight="251661312" behindDoc="1" locked="0" layoutInCell="1" allowOverlap="1" wp14:anchorId="16A40B1B" wp14:editId="2E4AC2B5">
            <wp:simplePos x="0" y="0"/>
            <wp:positionH relativeFrom="margin">
              <wp:posOffset>0</wp:posOffset>
            </wp:positionH>
            <wp:positionV relativeFrom="paragraph">
              <wp:posOffset>542290</wp:posOffset>
            </wp:positionV>
            <wp:extent cx="5603240" cy="1866900"/>
            <wp:effectExtent l="0" t="0" r="0" b="0"/>
            <wp:wrapSquare wrapText="bothSides"/>
            <wp:docPr id="78" name="Imagen 78" descr="http://www.lasalle.mx/wp-content/uploads/2014/09/Imagotipo_La_Salle_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asalle.mx/wp-content/uploads/2014/09/Imagotipo_La_Salle_color.pn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20862" t="24266" r="14924" b="18002"/>
                    <a:stretch/>
                  </pic:blipFill>
                  <pic:spPr bwMode="auto">
                    <a:xfrm>
                      <a:off x="0" y="0"/>
                      <a:ext cx="5603240" cy="18669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AFE517E" w14:textId="77777777" w:rsidR="007F2637" w:rsidRDefault="007F2637" w:rsidP="007F2637">
      <w:pPr>
        <w:spacing w:line="360" w:lineRule="auto"/>
        <w:jc w:val="center"/>
        <w:rPr>
          <w:rFonts w:ascii="Arial" w:eastAsia="Times New Roman" w:hAnsi="Arial" w:cs="Arial"/>
          <w:b/>
          <w:color w:val="000000"/>
          <w:sz w:val="40"/>
          <w:szCs w:val="52"/>
          <w:lang w:bidi="en-US"/>
        </w:rPr>
      </w:pPr>
    </w:p>
    <w:p w14:paraId="69892F0E" w14:textId="492F0362" w:rsidR="007F2637" w:rsidRPr="00ED0600" w:rsidRDefault="007F2637" w:rsidP="007F2637">
      <w:pPr>
        <w:spacing w:line="360" w:lineRule="auto"/>
        <w:jc w:val="center"/>
        <w:rPr>
          <w:rFonts w:ascii="Arial" w:eastAsia="Times New Roman" w:hAnsi="Arial" w:cs="Arial"/>
          <w:b/>
          <w:color w:val="000000"/>
          <w:sz w:val="36"/>
          <w:szCs w:val="28"/>
          <w:lang w:bidi="en-US"/>
        </w:rPr>
      </w:pPr>
      <w:r>
        <w:rPr>
          <w:rFonts w:ascii="Arial" w:eastAsia="Times New Roman" w:hAnsi="Arial" w:cs="Arial"/>
          <w:b/>
          <w:color w:val="000000"/>
          <w:sz w:val="40"/>
          <w:szCs w:val="52"/>
          <w:lang w:bidi="en-US"/>
        </w:rPr>
        <w:t xml:space="preserve">ESPECIALIDAD EN </w:t>
      </w:r>
      <w:r w:rsidR="0043282C">
        <w:rPr>
          <w:rFonts w:ascii="Arial" w:eastAsia="Times New Roman" w:hAnsi="Arial" w:cs="Arial"/>
          <w:b/>
          <w:color w:val="000000"/>
          <w:sz w:val="40"/>
          <w:szCs w:val="52"/>
          <w:lang w:bidi="en-US"/>
        </w:rPr>
        <w:t>NEONAT</w:t>
      </w:r>
      <w:r w:rsidR="0005744D">
        <w:rPr>
          <w:rFonts w:ascii="Arial" w:eastAsia="Times New Roman" w:hAnsi="Arial" w:cs="Arial"/>
          <w:b/>
          <w:color w:val="000000"/>
          <w:sz w:val="40"/>
          <w:szCs w:val="52"/>
          <w:lang w:bidi="en-US"/>
        </w:rPr>
        <w:t>OLOGÍA</w:t>
      </w:r>
    </w:p>
    <w:p w14:paraId="4EDF1596" w14:textId="77777777" w:rsidR="007F2637" w:rsidRPr="00ED0600" w:rsidRDefault="007F2637" w:rsidP="007F2637">
      <w:pPr>
        <w:spacing w:line="360" w:lineRule="auto"/>
        <w:jc w:val="center"/>
        <w:rPr>
          <w:rFonts w:ascii="Arial" w:eastAsia="Times New Roman" w:hAnsi="Arial" w:cs="Arial"/>
          <w:b/>
          <w:color w:val="000000"/>
          <w:sz w:val="36"/>
          <w:szCs w:val="28"/>
          <w:lang w:bidi="en-US"/>
        </w:rPr>
      </w:pPr>
    </w:p>
    <w:p w14:paraId="5F4BEBBD" w14:textId="77777777" w:rsidR="007F2637" w:rsidRPr="00ED0600" w:rsidRDefault="007F2637" w:rsidP="007F2637">
      <w:pPr>
        <w:spacing w:line="360" w:lineRule="auto"/>
        <w:jc w:val="center"/>
        <w:rPr>
          <w:rFonts w:ascii="Arial" w:eastAsia="Times New Roman" w:hAnsi="Arial" w:cs="Arial"/>
          <w:b/>
          <w:color w:val="000000"/>
          <w:sz w:val="36"/>
          <w:szCs w:val="28"/>
          <w:lang w:bidi="en-US"/>
        </w:rPr>
      </w:pPr>
      <w:r w:rsidRPr="00ED0600">
        <w:rPr>
          <w:rFonts w:ascii="Arial" w:eastAsia="Times New Roman" w:hAnsi="Arial" w:cs="Arial"/>
          <w:b/>
          <w:color w:val="000000"/>
          <w:sz w:val="36"/>
          <w:szCs w:val="28"/>
          <w:lang w:bidi="en-US"/>
        </w:rPr>
        <w:t>FUNDAMENTACIÓN SOCIOACADÉMICA</w:t>
      </w:r>
    </w:p>
    <w:p w14:paraId="7E9FA01A" w14:textId="77777777" w:rsidR="007F2637" w:rsidRPr="00ED0600" w:rsidRDefault="007F2637" w:rsidP="007F2637">
      <w:pPr>
        <w:jc w:val="center"/>
        <w:rPr>
          <w:rFonts w:ascii="Arial" w:eastAsia="Times New Roman" w:hAnsi="Arial" w:cs="Arial"/>
          <w:b/>
          <w:color w:val="000000"/>
          <w:sz w:val="28"/>
          <w:szCs w:val="28"/>
          <w:lang w:bidi="en-US"/>
        </w:rPr>
      </w:pPr>
    </w:p>
    <w:p w14:paraId="4CCDFB9B" w14:textId="77777777" w:rsidR="007F2637" w:rsidRPr="00ED0600" w:rsidRDefault="007F2637" w:rsidP="007F2637">
      <w:pPr>
        <w:jc w:val="center"/>
        <w:rPr>
          <w:rFonts w:ascii="Arial" w:eastAsia="Times New Roman" w:hAnsi="Arial" w:cs="Arial"/>
          <w:b/>
          <w:color w:val="000000"/>
          <w:sz w:val="28"/>
          <w:szCs w:val="28"/>
          <w:lang w:bidi="en-US"/>
        </w:rPr>
      </w:pPr>
    </w:p>
    <w:p w14:paraId="153A5462" w14:textId="77777777" w:rsidR="007F2637" w:rsidRPr="00ED0600" w:rsidRDefault="007F2637" w:rsidP="007F2637">
      <w:pPr>
        <w:jc w:val="center"/>
        <w:rPr>
          <w:rFonts w:ascii="Arial" w:eastAsia="Times New Roman" w:hAnsi="Arial" w:cs="Arial"/>
          <w:b/>
          <w:color w:val="000000"/>
          <w:sz w:val="28"/>
          <w:szCs w:val="28"/>
          <w:lang w:bidi="en-US"/>
        </w:rPr>
      </w:pPr>
    </w:p>
    <w:p w14:paraId="79C3FCBA" w14:textId="77777777" w:rsidR="007F2637" w:rsidRPr="00ED0600" w:rsidRDefault="007F2637" w:rsidP="007F2637">
      <w:pPr>
        <w:jc w:val="center"/>
        <w:rPr>
          <w:rFonts w:ascii="Arial" w:eastAsia="Times New Roman" w:hAnsi="Arial" w:cs="Arial"/>
          <w:b/>
          <w:color w:val="000000"/>
          <w:sz w:val="28"/>
          <w:szCs w:val="28"/>
          <w:lang w:bidi="en-US"/>
        </w:rPr>
      </w:pPr>
    </w:p>
    <w:p w14:paraId="6EC3768F" w14:textId="77777777" w:rsidR="007F2637" w:rsidRPr="00ED0600" w:rsidRDefault="007F2637" w:rsidP="007F2637">
      <w:pPr>
        <w:jc w:val="center"/>
        <w:rPr>
          <w:rFonts w:ascii="Arial" w:eastAsia="Times New Roman" w:hAnsi="Arial" w:cs="Arial"/>
          <w:b/>
          <w:color w:val="000000"/>
          <w:sz w:val="28"/>
          <w:szCs w:val="28"/>
          <w:lang w:bidi="en-US"/>
        </w:rPr>
      </w:pPr>
    </w:p>
    <w:p w14:paraId="6E206D54" w14:textId="77777777" w:rsidR="00C9214D" w:rsidRDefault="00C9214D" w:rsidP="007F2637">
      <w:pPr>
        <w:jc w:val="right"/>
        <w:rPr>
          <w:rFonts w:ascii="Arial" w:eastAsia="Times New Roman" w:hAnsi="Arial" w:cs="Arial"/>
          <w:b/>
          <w:color w:val="000000"/>
          <w:sz w:val="28"/>
          <w:szCs w:val="28"/>
          <w:lang w:bidi="en-US"/>
        </w:rPr>
      </w:pPr>
    </w:p>
    <w:p w14:paraId="251E5740" w14:textId="77777777" w:rsidR="00C9214D" w:rsidRDefault="00C9214D" w:rsidP="007F2637">
      <w:pPr>
        <w:jc w:val="right"/>
        <w:rPr>
          <w:rFonts w:ascii="Arial" w:eastAsia="Times New Roman" w:hAnsi="Arial" w:cs="Arial"/>
          <w:b/>
          <w:color w:val="000000"/>
          <w:sz w:val="28"/>
          <w:szCs w:val="28"/>
          <w:lang w:bidi="en-US"/>
        </w:rPr>
      </w:pPr>
    </w:p>
    <w:p w14:paraId="11996D6E" w14:textId="70C6F14B" w:rsidR="007F2637" w:rsidRPr="00ED0600" w:rsidRDefault="002938E8" w:rsidP="007F2637">
      <w:pPr>
        <w:jc w:val="right"/>
        <w:rPr>
          <w:rFonts w:ascii="Arial" w:eastAsia="Times New Roman" w:hAnsi="Arial" w:cs="Arial"/>
          <w:b/>
          <w:color w:val="000000"/>
          <w:sz w:val="28"/>
          <w:szCs w:val="28"/>
          <w:lang w:bidi="en-US"/>
        </w:rPr>
      </w:pPr>
      <w:r>
        <w:rPr>
          <w:rFonts w:ascii="Arial" w:eastAsia="Times New Roman" w:hAnsi="Arial" w:cs="Arial"/>
          <w:b/>
          <w:color w:val="000000"/>
          <w:sz w:val="28"/>
          <w:szCs w:val="28"/>
          <w:lang w:bidi="en-US"/>
        </w:rPr>
        <w:t>Jul</w:t>
      </w:r>
      <w:r w:rsidR="00C9214D">
        <w:rPr>
          <w:rFonts w:ascii="Arial" w:eastAsia="Times New Roman" w:hAnsi="Arial" w:cs="Arial"/>
          <w:b/>
          <w:color w:val="000000"/>
          <w:sz w:val="28"/>
          <w:szCs w:val="28"/>
          <w:lang w:bidi="en-US"/>
        </w:rPr>
        <w:t>i</w:t>
      </w:r>
      <w:r w:rsidR="007F2637">
        <w:rPr>
          <w:rFonts w:ascii="Arial" w:eastAsia="Times New Roman" w:hAnsi="Arial" w:cs="Arial"/>
          <w:b/>
          <w:color w:val="000000"/>
          <w:sz w:val="28"/>
          <w:szCs w:val="28"/>
          <w:lang w:bidi="en-US"/>
        </w:rPr>
        <w:t>o</w:t>
      </w:r>
      <w:r w:rsidR="007F2637" w:rsidRPr="00ED0600">
        <w:rPr>
          <w:rFonts w:ascii="Arial" w:eastAsia="Times New Roman" w:hAnsi="Arial" w:cs="Arial"/>
          <w:b/>
          <w:color w:val="000000"/>
          <w:sz w:val="28"/>
          <w:szCs w:val="28"/>
          <w:lang w:bidi="en-US"/>
        </w:rPr>
        <w:t xml:space="preserve"> 201</w:t>
      </w:r>
      <w:r w:rsidR="007F2637">
        <w:rPr>
          <w:rFonts w:ascii="Arial" w:eastAsia="Times New Roman" w:hAnsi="Arial" w:cs="Arial"/>
          <w:b/>
          <w:color w:val="000000"/>
          <w:sz w:val="28"/>
          <w:szCs w:val="28"/>
          <w:lang w:bidi="en-US"/>
        </w:rPr>
        <w:t>9</w:t>
      </w:r>
    </w:p>
    <w:p w14:paraId="4607D493" w14:textId="77777777" w:rsidR="007F2637" w:rsidRDefault="007F2637" w:rsidP="007F2637">
      <w:pPr>
        <w:spacing w:line="360" w:lineRule="auto"/>
        <w:rPr>
          <w:rFonts w:ascii="Arial" w:hAnsi="Arial" w:cs="Arial"/>
          <w:b/>
        </w:rPr>
      </w:pPr>
    </w:p>
    <w:p w14:paraId="4B2A381D" w14:textId="77777777" w:rsidR="00C9214D" w:rsidRPr="009D1687" w:rsidRDefault="00C9214D" w:rsidP="00C9214D">
      <w:pPr>
        <w:spacing w:after="0" w:line="360" w:lineRule="auto"/>
        <w:rPr>
          <w:rFonts w:ascii="Arial" w:hAnsi="Arial" w:cs="Arial"/>
          <w:b/>
        </w:rPr>
      </w:pPr>
      <w:r w:rsidRPr="009D1687">
        <w:rPr>
          <w:rFonts w:ascii="Arial" w:hAnsi="Arial" w:cs="Arial"/>
          <w:b/>
        </w:rPr>
        <w:t>INTRODUCCIÓN</w:t>
      </w:r>
    </w:p>
    <w:p w14:paraId="2DB783C8" w14:textId="77777777" w:rsidR="00C9214D" w:rsidRDefault="00C9214D" w:rsidP="00C9214D">
      <w:pPr>
        <w:spacing w:line="360" w:lineRule="auto"/>
        <w:jc w:val="both"/>
        <w:rPr>
          <w:rFonts w:ascii="Arial" w:hAnsi="Arial" w:cs="Arial"/>
        </w:rPr>
      </w:pPr>
    </w:p>
    <w:p w14:paraId="744761ED" w14:textId="77777777" w:rsidR="00C9214D" w:rsidRDefault="00C9214D" w:rsidP="00C9214D">
      <w:pPr>
        <w:spacing w:line="360" w:lineRule="auto"/>
        <w:jc w:val="both"/>
        <w:rPr>
          <w:rFonts w:ascii="Arial" w:hAnsi="Arial" w:cs="Arial"/>
        </w:rPr>
      </w:pPr>
      <w:r>
        <w:rPr>
          <w:rFonts w:ascii="Arial" w:hAnsi="Arial" w:cs="Arial"/>
        </w:rPr>
        <w:t>Actualmente, vivimos en un mundo globalizado y en constante cambio, lo cual impone numerosos retos. Específicamente, la educación en salud vive nuevos tiempos y condiciones, por lo cual habrá de plantearse ciertos cambios sobre la educación formativa y la capacitación continua, con el objetivo de formar médicos –generales y especialistas– enfermeras y personal técnico bien preparado, calificado y reconocido para atender las demandas socio-sanitarias actuales y emergentes, así como desarrollar u</w:t>
      </w:r>
      <w:r w:rsidRPr="00A27830">
        <w:rPr>
          <w:rFonts w:ascii="Arial" w:hAnsi="Arial" w:cs="Arial"/>
        </w:rPr>
        <w:t>na relación médico-paciente en la que influyen de</w:t>
      </w:r>
      <w:r>
        <w:rPr>
          <w:rFonts w:ascii="Arial" w:hAnsi="Arial" w:cs="Arial"/>
        </w:rPr>
        <w:t xml:space="preserve"> </w:t>
      </w:r>
      <w:r w:rsidRPr="00A27830">
        <w:rPr>
          <w:rFonts w:ascii="Arial" w:hAnsi="Arial" w:cs="Arial"/>
        </w:rPr>
        <w:t>manera directa aspectos com</w:t>
      </w:r>
      <w:r>
        <w:rPr>
          <w:rFonts w:ascii="Arial" w:hAnsi="Arial" w:cs="Arial"/>
        </w:rPr>
        <w:t xml:space="preserve">o los cambios demográficos, epidemiológicos, </w:t>
      </w:r>
      <w:r w:rsidRPr="00A27830">
        <w:rPr>
          <w:rFonts w:ascii="Arial" w:hAnsi="Arial" w:cs="Arial"/>
        </w:rPr>
        <w:t>científico-tecnológicos, culturales, éticos y de</w:t>
      </w:r>
      <w:r>
        <w:rPr>
          <w:rFonts w:ascii="Arial" w:hAnsi="Arial" w:cs="Arial"/>
        </w:rPr>
        <w:t xml:space="preserve"> </w:t>
      </w:r>
      <w:r w:rsidRPr="00A27830">
        <w:rPr>
          <w:rFonts w:ascii="Arial" w:hAnsi="Arial" w:cs="Arial"/>
        </w:rPr>
        <w:t>valores, económicos, judici</w:t>
      </w:r>
      <w:r>
        <w:rPr>
          <w:rFonts w:ascii="Arial" w:hAnsi="Arial" w:cs="Arial"/>
        </w:rPr>
        <w:t>ales o nuevos modelos de organi</w:t>
      </w:r>
      <w:r w:rsidRPr="00A27830">
        <w:rPr>
          <w:rFonts w:ascii="Arial" w:hAnsi="Arial" w:cs="Arial"/>
        </w:rPr>
        <w:t>zación y gestión sanitaria</w:t>
      </w:r>
      <w:r>
        <w:rPr>
          <w:rFonts w:ascii="Arial" w:hAnsi="Arial" w:cs="Arial"/>
        </w:rPr>
        <w:t>,</w:t>
      </w:r>
      <w:r w:rsidRPr="00A27830">
        <w:rPr>
          <w:rFonts w:ascii="Arial" w:hAnsi="Arial" w:cs="Arial"/>
        </w:rPr>
        <w:t xml:space="preserve"> la influencia de los </w:t>
      </w:r>
      <w:r>
        <w:rPr>
          <w:rFonts w:ascii="Arial" w:hAnsi="Arial" w:cs="Arial"/>
        </w:rPr>
        <w:t>medios de comunicación o la cul</w:t>
      </w:r>
      <w:r w:rsidRPr="00A27830">
        <w:rPr>
          <w:rFonts w:ascii="Arial" w:hAnsi="Arial" w:cs="Arial"/>
        </w:rPr>
        <w:t>tura del consumo</w:t>
      </w:r>
      <w:r>
        <w:rPr>
          <w:rFonts w:ascii="Arial" w:hAnsi="Arial" w:cs="Arial"/>
        </w:rPr>
        <w:t>. El reto de las instituciones formadoras, los médicos y sistemas de salud está en saber responder de forma efectiva y eficiente a las necesidades de la sociedad del siglo XXI y a la confianza otorgada por los pacientes y sus familias.</w:t>
      </w:r>
    </w:p>
    <w:p w14:paraId="7184ABDE" w14:textId="77777777" w:rsidR="00C9214D" w:rsidRDefault="00C9214D" w:rsidP="00C9214D">
      <w:pPr>
        <w:spacing w:line="360" w:lineRule="auto"/>
        <w:jc w:val="both"/>
        <w:rPr>
          <w:rFonts w:ascii="Arial" w:hAnsi="Arial" w:cs="Arial"/>
        </w:rPr>
      </w:pPr>
      <w:r>
        <w:rPr>
          <w:rFonts w:ascii="Arial" w:hAnsi="Arial" w:cs="Arial"/>
        </w:rPr>
        <w:t>Adicionalmente, los</w:t>
      </w:r>
      <w:r w:rsidRPr="00B11801">
        <w:rPr>
          <w:rFonts w:ascii="Arial" w:hAnsi="Arial" w:cs="Arial"/>
        </w:rPr>
        <w:t xml:space="preserve"> proceso</w:t>
      </w:r>
      <w:r>
        <w:rPr>
          <w:rFonts w:ascii="Arial" w:hAnsi="Arial" w:cs="Arial"/>
        </w:rPr>
        <w:t>s</w:t>
      </w:r>
      <w:r w:rsidRPr="00B11801">
        <w:rPr>
          <w:rFonts w:ascii="Arial" w:hAnsi="Arial" w:cs="Arial"/>
        </w:rPr>
        <w:t xml:space="preserve"> educativo</w:t>
      </w:r>
      <w:r>
        <w:rPr>
          <w:rFonts w:ascii="Arial" w:hAnsi="Arial" w:cs="Arial"/>
        </w:rPr>
        <w:t>s</w:t>
      </w:r>
      <w:r w:rsidRPr="00B11801">
        <w:rPr>
          <w:rFonts w:ascii="Arial" w:hAnsi="Arial" w:cs="Arial"/>
        </w:rPr>
        <w:t xml:space="preserve"> tanto de los médicos g</w:t>
      </w:r>
      <w:r>
        <w:rPr>
          <w:rFonts w:ascii="Arial" w:hAnsi="Arial" w:cs="Arial"/>
        </w:rPr>
        <w:t xml:space="preserve">eneralistas </w:t>
      </w:r>
      <w:r w:rsidRPr="00B11801">
        <w:rPr>
          <w:rFonts w:ascii="Arial" w:hAnsi="Arial" w:cs="Arial"/>
        </w:rPr>
        <w:t>como de los especialistas, requiere</w:t>
      </w:r>
      <w:r>
        <w:rPr>
          <w:rFonts w:ascii="Arial" w:hAnsi="Arial" w:cs="Arial"/>
        </w:rPr>
        <w:t>n</w:t>
      </w:r>
      <w:r w:rsidRPr="00B11801">
        <w:rPr>
          <w:rFonts w:ascii="Arial" w:hAnsi="Arial" w:cs="Arial"/>
        </w:rPr>
        <w:t xml:space="preserve"> de pro</w:t>
      </w:r>
      <w:r>
        <w:rPr>
          <w:rFonts w:ascii="Arial" w:hAnsi="Arial" w:cs="Arial"/>
        </w:rPr>
        <w:t xml:space="preserve">gramas académicos actualizados, </w:t>
      </w:r>
      <w:r w:rsidRPr="00B11801">
        <w:rPr>
          <w:rFonts w:ascii="Arial" w:hAnsi="Arial" w:cs="Arial"/>
        </w:rPr>
        <w:t>docentes competentes y campos clíni</w:t>
      </w:r>
      <w:r>
        <w:rPr>
          <w:rFonts w:ascii="Arial" w:hAnsi="Arial" w:cs="Arial"/>
        </w:rPr>
        <w:t xml:space="preserve">cos apropiados que les permitan </w:t>
      </w:r>
      <w:r w:rsidRPr="00B11801">
        <w:rPr>
          <w:rFonts w:ascii="Arial" w:hAnsi="Arial" w:cs="Arial"/>
        </w:rPr>
        <w:t>lograr aprendizajes significativos.</w:t>
      </w:r>
      <w:r>
        <w:rPr>
          <w:rFonts w:ascii="Arial" w:hAnsi="Arial" w:cs="Arial"/>
        </w:rPr>
        <w:t xml:space="preserve"> Además, existe la premisa de que las instituciones educativas habrán de tomar la dirección de una educación bajo la necesidad de humanizar la sociedad, es decir, favorecer una conciencia de ciudadanía universal, donde la enseñanza y la práctica de la medicina permitan una atención, equitativa, eficaz y comprensiva a pacientes, familias y comunidades, en pertinencia a los valores y necesidades de cada sociedad.</w:t>
      </w:r>
    </w:p>
    <w:p w14:paraId="09C25DB6" w14:textId="77777777" w:rsidR="00C9214D" w:rsidRDefault="00C9214D" w:rsidP="00C9214D">
      <w:pPr>
        <w:spacing w:line="360" w:lineRule="auto"/>
        <w:jc w:val="both"/>
        <w:rPr>
          <w:rFonts w:ascii="Arial" w:hAnsi="Arial" w:cs="Arial"/>
        </w:rPr>
      </w:pPr>
      <w:r>
        <w:rPr>
          <w:rFonts w:ascii="Arial" w:hAnsi="Arial" w:cs="Arial"/>
        </w:rPr>
        <w:t xml:space="preserve">Por otro lado, la planificación de médicos especialistas es vital para el correcto funcionamiento de los sistemas de salud; el objetivo es conseguir el número y la composición del personal necesarios para ofertar servicios de calidad en el lugar y tiempo correctos. Además, la planificación de formación de médicos especialistas no es lineal, por lo cual resulta compleja en diversos aspectos: técnico, administrativo, académico y financiero. Por lo anterior, es que se han planteado diversos enfoques y metodologías de planeación integrales, con la finalidad de lograr la convergencia entre la oferta de médicos especialistas y la demanda de servicios especializados. </w:t>
      </w:r>
    </w:p>
    <w:p w14:paraId="0091BE8D" w14:textId="77777777" w:rsidR="00C9214D" w:rsidRDefault="00C9214D" w:rsidP="00C9214D">
      <w:pPr>
        <w:spacing w:line="360" w:lineRule="auto"/>
        <w:jc w:val="both"/>
        <w:rPr>
          <w:rFonts w:ascii="Arial" w:hAnsi="Arial" w:cs="Arial"/>
        </w:rPr>
      </w:pPr>
      <w:r>
        <w:rPr>
          <w:rFonts w:ascii="Arial" w:hAnsi="Arial" w:cs="Arial"/>
        </w:rPr>
        <w:lastRenderedPageBreak/>
        <w:t xml:space="preserve">Por lo tanto, el objetivo del presente documento es desarrollar las perspectivas de cambio en los perfiles demográficos y epidemiológicos, los patrones de oferta y demanda en la provisión de los servicios asociados a las especialidades médicas impartidas en la Universidad La Salle, particularmente lo referente a la Especialidad en Anestesiología. </w:t>
      </w:r>
    </w:p>
    <w:p w14:paraId="3572ED69" w14:textId="7247D9DF" w:rsidR="007F2637" w:rsidRDefault="00C9214D" w:rsidP="00C9214D">
      <w:pPr>
        <w:spacing w:line="360" w:lineRule="auto"/>
        <w:jc w:val="both"/>
        <w:rPr>
          <w:rFonts w:ascii="Arial" w:hAnsi="Arial" w:cs="Arial"/>
          <w:b/>
        </w:rPr>
      </w:pPr>
      <w:r>
        <w:rPr>
          <w:rFonts w:ascii="Arial" w:hAnsi="Arial" w:cs="Arial"/>
        </w:rPr>
        <w:t>Los siguientes apartados dan cuenta primero, de la organización y enfoque pedagógico de la Facultad de Medicina de la Universidad La Salle, posteriormente se exploran las estructuras demográficas de México, haciendo énfasis en su composición etaria y distribución, así como evolución futura; desde la transición epidemiológica, se analiza la estructura de morbilidad y mortalidad, resaltando aquellos padecimientos asociados a los grupos poblacionales en los que las diferentes especialidades médicas en general y se hace un acercamiento a la p</w:t>
      </w:r>
      <w:r w:rsidRPr="00F26F63">
        <w:rPr>
          <w:rFonts w:ascii="Arial" w:hAnsi="Arial" w:cs="Arial"/>
        </w:rPr>
        <w:t>rovisión global de espec</w:t>
      </w:r>
      <w:r>
        <w:rPr>
          <w:rFonts w:ascii="Arial" w:hAnsi="Arial" w:cs="Arial"/>
        </w:rPr>
        <w:t>ialistas en anestesiología, se aborda el marco normativo, la demanda y oferta, así como el mercado de trabajo a través de una aproximación de estadísticas oficiales, tal y como lo es la Encuesta Nacional de Ocupación y Empleo.</w:t>
      </w:r>
    </w:p>
    <w:p w14:paraId="150A9F1A" w14:textId="77777777" w:rsidR="007F2637" w:rsidRDefault="007F2637" w:rsidP="007F2637">
      <w:pPr>
        <w:spacing w:line="360" w:lineRule="auto"/>
        <w:rPr>
          <w:rFonts w:ascii="Arial" w:hAnsi="Arial" w:cs="Arial"/>
          <w:b/>
        </w:rPr>
      </w:pPr>
    </w:p>
    <w:p w14:paraId="538666A3" w14:textId="77777777" w:rsidR="007F2637" w:rsidRDefault="007F2637" w:rsidP="007F2637">
      <w:pPr>
        <w:spacing w:line="360" w:lineRule="auto"/>
        <w:rPr>
          <w:rFonts w:ascii="Arial" w:hAnsi="Arial" w:cs="Arial"/>
          <w:b/>
        </w:rPr>
        <w:sectPr w:rsidR="007F2637" w:rsidSect="00C9214D">
          <w:headerReference w:type="default" r:id="rId12"/>
          <w:footerReference w:type="default" r:id="rId13"/>
          <w:pgSz w:w="12240" w:h="15840"/>
          <w:pgMar w:top="1417" w:right="1701" w:bottom="1417" w:left="1701" w:header="708" w:footer="708" w:gutter="0"/>
          <w:pgNumType w:start="1"/>
          <w:cols w:space="708"/>
          <w:titlePg/>
          <w:docGrid w:linePitch="360"/>
        </w:sectPr>
      </w:pPr>
    </w:p>
    <w:p w14:paraId="38434D4E" w14:textId="77777777" w:rsidR="00A63240" w:rsidRPr="00FD48F7" w:rsidRDefault="00A63240" w:rsidP="00A63240">
      <w:pPr>
        <w:spacing w:after="0" w:line="360" w:lineRule="auto"/>
        <w:rPr>
          <w:rFonts w:ascii="Arial" w:hAnsi="Arial" w:cs="Arial"/>
          <w:b/>
        </w:rPr>
      </w:pPr>
      <w:r>
        <w:rPr>
          <w:rFonts w:ascii="Arial" w:hAnsi="Arial" w:cs="Arial"/>
          <w:b/>
        </w:rPr>
        <w:lastRenderedPageBreak/>
        <w:t xml:space="preserve">I. </w:t>
      </w:r>
      <w:r w:rsidRPr="00FD48F7">
        <w:rPr>
          <w:rFonts w:ascii="Arial" w:hAnsi="Arial" w:cs="Arial"/>
          <w:b/>
        </w:rPr>
        <w:t>FACULTAD MEXICANA DE MEDICINA, DE LA UNIVERSIDAD LA SALLE</w:t>
      </w:r>
    </w:p>
    <w:p w14:paraId="08F96A87" w14:textId="77777777" w:rsidR="00A63240" w:rsidRDefault="00A63240" w:rsidP="00A63240">
      <w:pPr>
        <w:tabs>
          <w:tab w:val="left" w:pos="1695"/>
        </w:tabs>
        <w:spacing w:after="0" w:line="360" w:lineRule="auto"/>
        <w:jc w:val="both"/>
        <w:rPr>
          <w:rFonts w:ascii="Arial" w:hAnsi="Arial" w:cs="Arial"/>
        </w:rPr>
      </w:pPr>
    </w:p>
    <w:p w14:paraId="63787191" w14:textId="77777777" w:rsidR="00A63240" w:rsidRPr="002D0E04" w:rsidRDefault="00A63240" w:rsidP="00A63240">
      <w:pPr>
        <w:tabs>
          <w:tab w:val="left" w:pos="1695"/>
        </w:tabs>
        <w:spacing w:after="0" w:line="360" w:lineRule="auto"/>
        <w:jc w:val="both"/>
        <w:rPr>
          <w:rFonts w:ascii="Arial" w:hAnsi="Arial" w:cs="Arial"/>
          <w:b/>
        </w:rPr>
      </w:pPr>
      <w:r w:rsidRPr="002D0E04">
        <w:rPr>
          <w:rFonts w:ascii="Arial" w:hAnsi="Arial" w:cs="Arial"/>
          <w:b/>
        </w:rPr>
        <w:t>1.1. Enfoque pedagógico</w:t>
      </w:r>
    </w:p>
    <w:p w14:paraId="1EA9AE2E" w14:textId="77777777" w:rsidR="00A63240" w:rsidRPr="00FD48F7" w:rsidRDefault="00A63240" w:rsidP="00A63240">
      <w:pPr>
        <w:tabs>
          <w:tab w:val="left" w:pos="1695"/>
        </w:tabs>
        <w:spacing w:after="0" w:line="360" w:lineRule="auto"/>
        <w:jc w:val="both"/>
        <w:rPr>
          <w:rFonts w:ascii="Arial" w:hAnsi="Arial" w:cs="Arial"/>
        </w:rPr>
      </w:pPr>
      <w:r w:rsidRPr="00FD48F7">
        <w:rPr>
          <w:rFonts w:ascii="Arial" w:hAnsi="Arial" w:cs="Arial"/>
        </w:rPr>
        <w:t xml:space="preserve">Desde su fundación en el año de 1970, la Escuela Mexicana de Medicina hasta su transformación en Facultad Mexicana de Medicina en 1993, asume una perspectiva de formación integral en los programas educativos que imparte (licenciatura y especialidades médicas). </w:t>
      </w:r>
      <w:r w:rsidRPr="0005744D">
        <w:rPr>
          <w:rFonts w:ascii="Arial" w:hAnsi="Arial" w:cs="Arial"/>
        </w:rPr>
        <w:t>Entendida</w:t>
      </w:r>
      <w:r w:rsidRPr="00FD48F7">
        <w:rPr>
          <w:rFonts w:ascii="Arial" w:hAnsi="Arial" w:cs="Arial"/>
        </w:rPr>
        <w:t xml:space="preserve"> </w:t>
      </w:r>
      <w:r w:rsidRPr="00BB522B">
        <w:rPr>
          <w:rFonts w:ascii="Arial" w:hAnsi="Arial" w:cs="Arial"/>
        </w:rPr>
        <w:t xml:space="preserve">dicha formación como la “realización plena de la persona humana, mediante la atención y estímulo de todas y cada una de sus dimensiones”. Asimismo, en su modelo educativo la FMM adopta </w:t>
      </w:r>
      <w:r w:rsidRPr="00FD48F7">
        <w:rPr>
          <w:rFonts w:ascii="Arial" w:hAnsi="Arial" w:cs="Arial"/>
        </w:rPr>
        <w:t xml:space="preserve">la modalidad educativa mixta, sustentada en el proyecto institucional de flexibilidad educativa. </w:t>
      </w:r>
    </w:p>
    <w:p w14:paraId="6E8BE0C4" w14:textId="77777777" w:rsidR="00A63240" w:rsidRPr="00E4327A" w:rsidRDefault="00A63240" w:rsidP="00A63240">
      <w:pPr>
        <w:tabs>
          <w:tab w:val="left" w:pos="1695"/>
        </w:tabs>
        <w:spacing w:line="360" w:lineRule="auto"/>
        <w:jc w:val="both"/>
        <w:rPr>
          <w:rFonts w:ascii="Arial" w:hAnsi="Arial" w:cs="Arial"/>
        </w:rPr>
      </w:pPr>
      <w:r w:rsidRPr="00FD48F7">
        <w:rPr>
          <w:rFonts w:ascii="Arial" w:hAnsi="Arial" w:cs="Arial"/>
        </w:rPr>
        <w:t xml:space="preserve">El modelo educativo de la FMM, se funda bajo los ejes de gestión descritos en el modelo educativo de la Universidad la Salle, estos son: </w:t>
      </w:r>
      <w:r w:rsidRPr="00FD48F7">
        <w:rPr>
          <w:rFonts w:ascii="Arial" w:eastAsia="Times New Roman" w:hAnsi="Arial" w:cs="Arial"/>
          <w:b/>
          <w:color w:val="000000"/>
          <w:szCs w:val="24"/>
          <w:lang w:bidi="en-US"/>
        </w:rPr>
        <w:t xml:space="preserve">el </w:t>
      </w:r>
      <w:r w:rsidRPr="00E4327A">
        <w:rPr>
          <w:rFonts w:ascii="Arial" w:eastAsia="Times New Roman" w:hAnsi="Arial" w:cs="Arial"/>
          <w:b/>
          <w:color w:val="000000"/>
          <w:szCs w:val="24"/>
          <w:lang w:bidi="en-US"/>
        </w:rPr>
        <w:t>enfoque pedagógico</w:t>
      </w:r>
      <w:r w:rsidRPr="00E4327A">
        <w:rPr>
          <w:rFonts w:ascii="Arial" w:eastAsia="Times New Roman" w:hAnsi="Arial" w:cs="Arial"/>
          <w:color w:val="000000"/>
          <w:szCs w:val="24"/>
          <w:lang w:bidi="en-US"/>
        </w:rPr>
        <w:t xml:space="preserve">, </w:t>
      </w:r>
      <w:r w:rsidRPr="00E4327A">
        <w:rPr>
          <w:rFonts w:ascii="Arial" w:eastAsia="Times New Roman" w:hAnsi="Arial" w:cs="Arial"/>
          <w:b/>
          <w:color w:val="000000"/>
          <w:szCs w:val="24"/>
          <w:lang w:bidi="en-US"/>
        </w:rPr>
        <w:t>la relación con la sociedad y el conocimiento</w:t>
      </w:r>
      <w:r w:rsidRPr="00E4327A">
        <w:rPr>
          <w:rFonts w:ascii="Arial" w:eastAsia="Times New Roman" w:hAnsi="Arial" w:cs="Arial"/>
          <w:color w:val="000000"/>
          <w:szCs w:val="24"/>
          <w:lang w:bidi="en-US"/>
        </w:rPr>
        <w:t xml:space="preserve">, </w:t>
      </w:r>
      <w:r w:rsidRPr="00E4327A">
        <w:rPr>
          <w:rFonts w:ascii="Arial" w:eastAsia="Times New Roman" w:hAnsi="Arial" w:cs="Arial"/>
          <w:b/>
          <w:color w:val="000000"/>
          <w:szCs w:val="24"/>
          <w:lang w:bidi="en-US"/>
        </w:rPr>
        <w:t>los procesos educativos</w:t>
      </w:r>
      <w:r w:rsidRPr="00E4327A">
        <w:rPr>
          <w:rFonts w:ascii="Arial" w:eastAsia="Times New Roman" w:hAnsi="Arial" w:cs="Arial"/>
          <w:color w:val="000000"/>
          <w:szCs w:val="24"/>
          <w:lang w:bidi="en-US"/>
        </w:rPr>
        <w:t xml:space="preserve"> y </w:t>
      </w:r>
      <w:r w:rsidRPr="00E4327A">
        <w:rPr>
          <w:rFonts w:ascii="Arial" w:eastAsia="Times New Roman" w:hAnsi="Arial" w:cs="Arial"/>
          <w:b/>
          <w:color w:val="000000"/>
          <w:szCs w:val="24"/>
          <w:lang w:bidi="en-US"/>
        </w:rPr>
        <w:t>el proyecto académico</w:t>
      </w:r>
      <w:r w:rsidRPr="00E4327A">
        <w:rPr>
          <w:rFonts w:ascii="Arial" w:hAnsi="Arial" w:cs="Arial"/>
        </w:rPr>
        <w:t>, con la intención de estructurar el quehacer educativo de la Facultad.</w:t>
      </w:r>
    </w:p>
    <w:p w14:paraId="073AB90A" w14:textId="77777777" w:rsidR="00A63240" w:rsidRPr="00E4327A" w:rsidRDefault="00A63240" w:rsidP="00A63240">
      <w:pPr>
        <w:spacing w:after="0" w:line="360" w:lineRule="auto"/>
        <w:jc w:val="both"/>
        <w:rPr>
          <w:rFonts w:ascii="Arial" w:hAnsi="Arial" w:cs="Arial"/>
        </w:rPr>
      </w:pPr>
      <w:r w:rsidRPr="00E4327A">
        <w:rPr>
          <w:rFonts w:ascii="Arial" w:hAnsi="Arial" w:cs="Arial"/>
        </w:rPr>
        <w:t xml:space="preserve">Respecto al enfoque pedagógico, este se entiende desde el paradigma sociocognitivo, ya que “… integra el desarrollo tanto de los procesos cognitivos en las personas que le ayudan a estructurar su pensamiento, como de sus procesos sicológicos superiores contextualizados. Dicho desarrollo se da en un contexto mediado por el entorno sociocultural y económico en el que viven [los estudiantes], por la institución educativa, por los docentes y por los compañeros en las situaciones de aprendizaje” </w:t>
      </w:r>
      <w:r w:rsidRPr="00A83AC0">
        <w:rPr>
          <w:rFonts w:ascii="Arial" w:hAnsi="Arial" w:cs="Arial"/>
        </w:rPr>
        <w:t>(Vargas, 2013: 42).</w:t>
      </w:r>
    </w:p>
    <w:p w14:paraId="72D97598" w14:textId="77777777" w:rsidR="00A63240" w:rsidRPr="00FD48F7" w:rsidRDefault="00A63240" w:rsidP="00A63240">
      <w:pPr>
        <w:tabs>
          <w:tab w:val="left" w:pos="1695"/>
        </w:tabs>
        <w:spacing w:after="0" w:line="360" w:lineRule="auto"/>
        <w:jc w:val="both"/>
        <w:rPr>
          <w:rFonts w:ascii="Arial" w:hAnsi="Arial" w:cs="Arial"/>
        </w:rPr>
      </w:pPr>
      <w:r w:rsidRPr="00E4327A">
        <w:rPr>
          <w:rFonts w:ascii="Arial" w:hAnsi="Arial" w:cs="Arial"/>
        </w:rPr>
        <w:t>El eje pedagógico, se centra en la construcción del pensamiento</w:t>
      </w:r>
      <w:r w:rsidRPr="00FD48F7">
        <w:rPr>
          <w:rFonts w:ascii="Arial" w:hAnsi="Arial" w:cs="Arial"/>
        </w:rPr>
        <w:t xml:space="preserve"> como condición para la generación de nuevos conocimientos en el área de la medicina y de manera particular en el posgrado. Señala como características de los estudiantes la capacidad de autoaprendizaje, la crítica propositiva, creativa y responsable; la participación eficiente en actividades de investigación y vinculación. </w:t>
      </w:r>
    </w:p>
    <w:p w14:paraId="1B813491" w14:textId="77777777" w:rsidR="00A63240" w:rsidRPr="00FD48F7" w:rsidRDefault="00A63240" w:rsidP="00A63240">
      <w:pPr>
        <w:tabs>
          <w:tab w:val="left" w:pos="1695"/>
        </w:tabs>
        <w:spacing w:after="0" w:line="360" w:lineRule="auto"/>
        <w:jc w:val="both"/>
        <w:rPr>
          <w:rFonts w:ascii="Arial" w:hAnsi="Arial" w:cs="Arial"/>
        </w:rPr>
      </w:pPr>
    </w:p>
    <w:p w14:paraId="46CA6B54" w14:textId="77777777" w:rsidR="00A63240" w:rsidRPr="00FD48F7" w:rsidRDefault="00A63240" w:rsidP="00A63240">
      <w:pPr>
        <w:tabs>
          <w:tab w:val="left" w:pos="1695"/>
        </w:tabs>
        <w:spacing w:after="0" w:line="360" w:lineRule="auto"/>
        <w:jc w:val="both"/>
        <w:rPr>
          <w:rFonts w:ascii="Arial" w:hAnsi="Arial" w:cs="Arial"/>
          <w:color w:val="000000"/>
        </w:rPr>
      </w:pPr>
      <w:r w:rsidRPr="00FD48F7">
        <w:rPr>
          <w:rFonts w:ascii="Arial" w:hAnsi="Arial" w:cs="Arial"/>
          <w:color w:val="000000"/>
        </w:rPr>
        <w:t xml:space="preserve">Asociado a lo anterior, la </w:t>
      </w:r>
      <w:r w:rsidRPr="00E4327A">
        <w:rPr>
          <w:rFonts w:ascii="Arial" w:hAnsi="Arial" w:cs="Arial"/>
          <w:color w:val="000000"/>
        </w:rPr>
        <w:t>dimensión pedagógica</w:t>
      </w:r>
      <w:r w:rsidRPr="00FD48F7">
        <w:rPr>
          <w:rFonts w:ascii="Arial" w:hAnsi="Arial" w:cs="Arial"/>
          <w:color w:val="000000"/>
        </w:rPr>
        <w:t xml:space="preserve"> encuentra fundamento en tres concepciones que adopta como básicas: la formación integral, el aprendizaje significativo y el desarrollo de competencias.</w:t>
      </w:r>
    </w:p>
    <w:p w14:paraId="5E844863" w14:textId="77777777" w:rsidR="00A63240" w:rsidRPr="00FD48F7" w:rsidRDefault="00A63240" w:rsidP="00A63240">
      <w:pPr>
        <w:tabs>
          <w:tab w:val="left" w:pos="1695"/>
        </w:tabs>
        <w:spacing w:after="0" w:line="360" w:lineRule="auto"/>
        <w:jc w:val="both"/>
        <w:rPr>
          <w:rFonts w:ascii="Arial" w:hAnsi="Arial" w:cs="Arial"/>
          <w:color w:val="000000"/>
        </w:rPr>
      </w:pPr>
    </w:p>
    <w:p w14:paraId="13D9D3C3" w14:textId="77777777" w:rsidR="00A63240" w:rsidRPr="00FD48F7" w:rsidRDefault="00A63240" w:rsidP="00A63240">
      <w:pPr>
        <w:tabs>
          <w:tab w:val="left" w:pos="1695"/>
        </w:tabs>
        <w:spacing w:after="0" w:line="360" w:lineRule="auto"/>
        <w:jc w:val="both"/>
        <w:rPr>
          <w:rFonts w:ascii="Arial" w:hAnsi="Arial" w:cs="Arial"/>
        </w:rPr>
      </w:pPr>
      <w:r w:rsidRPr="00FD48F7">
        <w:rPr>
          <w:rFonts w:ascii="Arial" w:hAnsi="Arial" w:cs="Arial"/>
        </w:rPr>
        <w:t xml:space="preserve">La formación integral, como se ha mencionado antes, constituye el componente que cohesiona las prácticas educativas de la Facultad con el proyecto educativo institucional, y que además proporciona soportes conceptuales y especialmente valorales desde una perspectiva humanista-cristiana, que derivan en actitudes éticas para el desempeño </w:t>
      </w:r>
      <w:r w:rsidRPr="00FD48F7">
        <w:rPr>
          <w:rFonts w:ascii="Arial" w:hAnsi="Arial" w:cs="Arial"/>
        </w:rPr>
        <w:lastRenderedPageBreak/>
        <w:t>profesional y acciones solidarias para contribuir a la mejora en las condiciones de vida de grupos y personas menos favorecidas por las condiciones socioeconómicas.</w:t>
      </w:r>
    </w:p>
    <w:p w14:paraId="269D927E" w14:textId="77777777" w:rsidR="00A63240" w:rsidRPr="00FD48F7" w:rsidRDefault="00A63240" w:rsidP="00A63240">
      <w:pPr>
        <w:tabs>
          <w:tab w:val="left" w:pos="1695"/>
        </w:tabs>
        <w:spacing w:after="0" w:line="360" w:lineRule="auto"/>
        <w:jc w:val="both"/>
        <w:rPr>
          <w:rFonts w:ascii="Arial" w:hAnsi="Arial" w:cs="Arial"/>
        </w:rPr>
      </w:pPr>
      <w:r w:rsidRPr="00FD48F7">
        <w:rPr>
          <w:rFonts w:ascii="Arial" w:hAnsi="Arial" w:cs="Arial"/>
        </w:rPr>
        <w:t>El aprendizaje significativo constituye el soporte conceptual y metodológico de los procesos educativos, especialmente en los planos psicopedagógico y didáctico o de interacción educador-educando en torno al</w:t>
      </w:r>
      <w:r>
        <w:rPr>
          <w:rFonts w:ascii="Arial" w:hAnsi="Arial" w:cs="Arial"/>
        </w:rPr>
        <w:t xml:space="preserve"> aprendizaje como construcción </w:t>
      </w:r>
      <w:r w:rsidRPr="00FD48F7">
        <w:rPr>
          <w:rFonts w:ascii="Arial" w:hAnsi="Arial" w:cs="Arial"/>
        </w:rPr>
        <w:t>de conocimientos.</w:t>
      </w:r>
    </w:p>
    <w:p w14:paraId="0609BD86" w14:textId="77777777" w:rsidR="00A63240" w:rsidRPr="00FD48F7" w:rsidRDefault="00A63240" w:rsidP="00A63240">
      <w:pPr>
        <w:tabs>
          <w:tab w:val="left" w:pos="1695"/>
        </w:tabs>
        <w:spacing w:after="0" w:line="360" w:lineRule="auto"/>
        <w:jc w:val="both"/>
        <w:rPr>
          <w:rFonts w:ascii="Arial" w:hAnsi="Arial" w:cs="Arial"/>
        </w:rPr>
      </w:pPr>
      <w:r w:rsidRPr="00FD48F7">
        <w:rPr>
          <w:rFonts w:ascii="Arial" w:hAnsi="Arial" w:cs="Arial"/>
        </w:rPr>
        <w:t xml:space="preserve">Este enfoque de aprendizaje </w:t>
      </w:r>
      <w:r w:rsidRPr="00E4327A">
        <w:rPr>
          <w:rFonts w:ascii="Arial" w:hAnsi="Arial" w:cs="Arial"/>
        </w:rPr>
        <w:t>posibilita</w:t>
      </w:r>
      <w:r w:rsidRPr="00FD48F7">
        <w:rPr>
          <w:rFonts w:ascii="Arial" w:hAnsi="Arial" w:cs="Arial"/>
        </w:rPr>
        <w:t xml:space="preserve"> considerablemente la formación de las características que la Facultad procura en sus estudiantes, como estrategia para contribuir al bienestar social con profesionistas cuyos conocimientos, habilidades y destrezas sean estructurados reflexiva y metódicamente a partir de los recursos personales, mediante una interacción constructiva con el contexto y el diálogo con las demás personas. Esta manera de aprender </w:t>
      </w:r>
      <w:r>
        <w:rPr>
          <w:rFonts w:ascii="Arial" w:hAnsi="Arial" w:cs="Arial"/>
        </w:rPr>
        <w:t>promueve</w:t>
      </w:r>
      <w:r w:rsidRPr="00FD48F7">
        <w:rPr>
          <w:rFonts w:ascii="Arial" w:hAnsi="Arial" w:cs="Arial"/>
        </w:rPr>
        <w:t>, además, el desarrollo de múltiples estrategias que fomentan el desempeño académico y, posteriormente, el profesional signado por la metacognición y la autorregulación.</w:t>
      </w:r>
    </w:p>
    <w:p w14:paraId="3EB877AD" w14:textId="77777777" w:rsidR="00A63240" w:rsidRPr="00FD48F7" w:rsidRDefault="00A63240" w:rsidP="00A63240">
      <w:pPr>
        <w:tabs>
          <w:tab w:val="left" w:pos="1695"/>
        </w:tabs>
        <w:spacing w:after="0" w:line="360" w:lineRule="auto"/>
        <w:jc w:val="both"/>
        <w:rPr>
          <w:rFonts w:ascii="Arial" w:hAnsi="Arial" w:cs="Arial"/>
        </w:rPr>
      </w:pPr>
      <w:r w:rsidRPr="00FD48F7">
        <w:rPr>
          <w:rFonts w:ascii="Arial" w:hAnsi="Arial" w:cs="Arial"/>
        </w:rPr>
        <w:t xml:space="preserve">El modelo educativo de la Facultad ha incorporado prudente y paulatinamente el enfoque de formación por competencias con la intención de no generar contrasentidos curriculares, conceptuales, epistemológicos e incluso operativos ante la coexistencia de diferentes enfoques teóricos de la praxis educativa. En este sentido, desde el </w:t>
      </w:r>
      <w:r w:rsidRPr="00E4327A">
        <w:rPr>
          <w:rFonts w:ascii="Arial" w:hAnsi="Arial" w:cs="Arial"/>
        </w:rPr>
        <w:t>punto de vista pedagógico</w:t>
      </w:r>
      <w:r w:rsidRPr="00FD48F7">
        <w:rPr>
          <w:rFonts w:ascii="Arial" w:hAnsi="Arial" w:cs="Arial"/>
        </w:rPr>
        <w:t xml:space="preserve"> se ha optado por hablar del desarrollo de competencias claramente asociadas con el perfil académico profesional y con el ejercicio del campo laboral, tanto del pregrado como del posgrado, específicamente para las especialidades médicas.</w:t>
      </w:r>
    </w:p>
    <w:p w14:paraId="45D3F1F4" w14:textId="77777777" w:rsidR="00A63240" w:rsidRDefault="00A63240" w:rsidP="00A63240">
      <w:pPr>
        <w:tabs>
          <w:tab w:val="left" w:pos="1695"/>
        </w:tabs>
        <w:spacing w:after="0" w:line="360" w:lineRule="auto"/>
        <w:jc w:val="both"/>
        <w:rPr>
          <w:rFonts w:ascii="Arial" w:hAnsi="Arial" w:cs="Arial"/>
          <w:color w:val="000000"/>
        </w:rPr>
      </w:pPr>
      <w:r>
        <w:rPr>
          <w:rFonts w:ascii="Arial" w:hAnsi="Arial" w:cs="Arial"/>
        </w:rPr>
        <w:t>En</w:t>
      </w:r>
      <w:r w:rsidRPr="00FD48F7">
        <w:rPr>
          <w:rFonts w:ascii="Arial" w:hAnsi="Arial" w:cs="Arial"/>
        </w:rPr>
        <w:t xml:space="preserve"> este contexto es importante </w:t>
      </w:r>
      <w:r>
        <w:rPr>
          <w:rFonts w:ascii="Arial" w:hAnsi="Arial" w:cs="Arial"/>
        </w:rPr>
        <w:t>enfatizar</w:t>
      </w:r>
      <w:r w:rsidRPr="00FD48F7">
        <w:rPr>
          <w:rFonts w:ascii="Arial" w:hAnsi="Arial" w:cs="Arial"/>
        </w:rPr>
        <w:t xml:space="preserve"> que para el logro del enfoque por competencias desde la visión so</w:t>
      </w:r>
      <w:r>
        <w:rPr>
          <w:rFonts w:ascii="Arial" w:hAnsi="Arial" w:cs="Arial"/>
        </w:rPr>
        <w:t xml:space="preserve">cio cognitiva del aprendizaje, </w:t>
      </w:r>
      <w:r w:rsidRPr="00FD48F7">
        <w:rPr>
          <w:rFonts w:ascii="Arial" w:hAnsi="Arial" w:cs="Arial"/>
          <w:color w:val="000000"/>
        </w:rPr>
        <w:t xml:space="preserve">en las ciencias clínicas y quirúrgicas, se han  experimentado infinidad de métodos para la formación personalizada de los médicos, </w:t>
      </w:r>
      <w:r w:rsidRPr="00E4327A">
        <w:rPr>
          <w:rFonts w:ascii="Arial" w:hAnsi="Arial" w:cs="Arial"/>
          <w:color w:val="000000"/>
        </w:rPr>
        <w:t>destacando</w:t>
      </w:r>
      <w:r w:rsidRPr="00FD48F7">
        <w:rPr>
          <w:rFonts w:ascii="Arial" w:hAnsi="Arial" w:cs="Arial"/>
          <w:color w:val="000000"/>
        </w:rPr>
        <w:t xml:space="preserve"> entre otros; medicina basada en evidencias, método de aprendizaje basado en </w:t>
      </w:r>
      <w:r w:rsidRPr="00BB522B">
        <w:rPr>
          <w:rFonts w:ascii="Arial" w:hAnsi="Arial" w:cs="Arial"/>
          <w:color w:val="000000"/>
        </w:rPr>
        <w:t>problemas</w:t>
      </w:r>
      <w:r w:rsidRPr="00BB522B">
        <w:rPr>
          <w:rStyle w:val="Refdenotaalpie"/>
          <w:rFonts w:ascii="Arial" w:hAnsi="Arial" w:cs="Arial"/>
          <w:color w:val="000000"/>
        </w:rPr>
        <w:footnoteReference w:id="1"/>
      </w:r>
      <w:r w:rsidRPr="00BB522B">
        <w:rPr>
          <w:rFonts w:ascii="Arial" w:hAnsi="Arial" w:cs="Arial"/>
          <w:color w:val="000000"/>
        </w:rPr>
        <w:t>, proyectos</w:t>
      </w:r>
      <w:r w:rsidRPr="00BB522B">
        <w:rPr>
          <w:rStyle w:val="Refdenotaalpie"/>
          <w:rFonts w:ascii="Arial" w:hAnsi="Arial" w:cs="Arial"/>
          <w:color w:val="000000"/>
        </w:rPr>
        <w:footnoteReference w:id="2"/>
      </w:r>
      <w:r w:rsidRPr="00BB522B">
        <w:rPr>
          <w:rFonts w:ascii="Arial" w:hAnsi="Arial" w:cs="Arial"/>
          <w:color w:val="000000"/>
        </w:rPr>
        <w:t>, casos</w:t>
      </w:r>
      <w:r w:rsidRPr="00BB522B">
        <w:rPr>
          <w:rStyle w:val="Refdenotaalpie"/>
          <w:rFonts w:ascii="Arial" w:hAnsi="Arial" w:cs="Arial"/>
          <w:color w:val="000000"/>
        </w:rPr>
        <w:footnoteReference w:id="3"/>
      </w:r>
      <w:r w:rsidRPr="00BB522B">
        <w:rPr>
          <w:rFonts w:ascii="Arial" w:hAnsi="Arial" w:cs="Arial"/>
          <w:color w:val="000000"/>
        </w:rPr>
        <w:t xml:space="preserve"> y el</w:t>
      </w:r>
      <w:r w:rsidRPr="00FD48F7">
        <w:rPr>
          <w:rFonts w:ascii="Arial" w:hAnsi="Arial" w:cs="Arial"/>
          <w:color w:val="000000"/>
        </w:rPr>
        <w:t xml:space="preserve"> método clínico. </w:t>
      </w:r>
      <w:r w:rsidRPr="00E4327A">
        <w:rPr>
          <w:rFonts w:ascii="Arial" w:hAnsi="Arial" w:cs="Arial"/>
          <w:color w:val="000000"/>
        </w:rPr>
        <w:t>Bajo</w:t>
      </w:r>
      <w:r w:rsidRPr="00FD48F7">
        <w:rPr>
          <w:rFonts w:ascii="Arial" w:hAnsi="Arial" w:cs="Arial"/>
          <w:color w:val="000000"/>
        </w:rPr>
        <w:t xml:space="preserve"> el enfoque de enseñanza por competencias en la formación de r</w:t>
      </w:r>
      <w:r>
        <w:rPr>
          <w:rFonts w:ascii="Arial" w:hAnsi="Arial" w:cs="Arial"/>
          <w:color w:val="000000"/>
        </w:rPr>
        <w:t xml:space="preserve">esidentes médicos que estudian </w:t>
      </w:r>
      <w:r w:rsidRPr="00FD48F7">
        <w:rPr>
          <w:rFonts w:ascii="Arial" w:hAnsi="Arial" w:cs="Arial"/>
          <w:color w:val="000000"/>
        </w:rPr>
        <w:t xml:space="preserve">especialidades médicas, aplicables en el aula, laboratorio o campo clínico. </w:t>
      </w:r>
      <w:r>
        <w:rPr>
          <w:rFonts w:ascii="Arial" w:hAnsi="Arial" w:cs="Arial"/>
          <w:color w:val="000000"/>
        </w:rPr>
        <w:t>Resaltando</w:t>
      </w:r>
      <w:r w:rsidRPr="00FD48F7">
        <w:rPr>
          <w:rFonts w:ascii="Arial" w:hAnsi="Arial" w:cs="Arial"/>
          <w:color w:val="000000"/>
        </w:rPr>
        <w:t xml:space="preserve"> el método clínico, como aquel proceso sistemático por el cual los médicos logran diagnosticar una enfermedad de manera </w:t>
      </w:r>
      <w:r w:rsidRPr="00FD48F7">
        <w:rPr>
          <w:rFonts w:ascii="Arial" w:hAnsi="Arial" w:cs="Arial"/>
          <w:color w:val="000000"/>
        </w:rPr>
        <w:lastRenderedPageBreak/>
        <w:t>adecuada y prescribir el tratamiento adecuado para lograr la curación y en su caso, mantener esquemas de seguimiento a la evolución del tratamiento prescrito.</w:t>
      </w:r>
    </w:p>
    <w:p w14:paraId="6EF5E9C4" w14:textId="77777777" w:rsidR="00A63240" w:rsidRPr="00BD052E" w:rsidRDefault="00A63240" w:rsidP="00A63240">
      <w:pPr>
        <w:tabs>
          <w:tab w:val="left" w:pos="1695"/>
        </w:tabs>
        <w:spacing w:after="0" w:line="360" w:lineRule="auto"/>
        <w:jc w:val="both"/>
        <w:rPr>
          <w:rFonts w:ascii="Arial" w:hAnsi="Arial" w:cs="Arial"/>
          <w:color w:val="000000"/>
        </w:rPr>
      </w:pPr>
      <w:r w:rsidRPr="00BD052E">
        <w:rPr>
          <w:rFonts w:ascii="Arial" w:hAnsi="Arial" w:cs="Arial"/>
          <w:color w:val="000000"/>
        </w:rPr>
        <w:t>Relación con la sociedad y el conocimiento, determina las orientaciones sociopolítica, ontológica y epistémica de las funciones sustantivas de la universidad, marcando así una relación dialógica entre la lectura que se hace institucionalmente de los distintos entornos y sujetos (necesidades del lasallismo, de los jóvenes, del mercado laboral, de una formación espiritual, de los conocimientos científicos, tecnológicos y humanísticos) y los espacios de incidencia del quehacer formativo en todos los miembros de la comunidad universitaria y en sus egresados. La universidad y su relación con lo global y local, es una institución con una visión amplia al servicio de los objetivos humanísticos y culturales de la sociedad y de los individuos. Al reconocer su potencial en el desarrollo personal, local y global de las empresas, de las sociedades y de sus culturas.</w:t>
      </w:r>
    </w:p>
    <w:p w14:paraId="6B15F305" w14:textId="77777777" w:rsidR="00A63240" w:rsidRPr="00BD052E" w:rsidRDefault="00A63240" w:rsidP="00A63240">
      <w:pPr>
        <w:tabs>
          <w:tab w:val="left" w:pos="1695"/>
        </w:tabs>
        <w:spacing w:after="0" w:line="360" w:lineRule="auto"/>
        <w:jc w:val="both"/>
        <w:rPr>
          <w:rFonts w:ascii="Arial" w:hAnsi="Arial" w:cs="Arial"/>
          <w:color w:val="000000"/>
        </w:rPr>
      </w:pPr>
      <w:r w:rsidRPr="00BD052E">
        <w:rPr>
          <w:rFonts w:ascii="Arial" w:hAnsi="Arial" w:cs="Arial"/>
          <w:color w:val="000000"/>
        </w:rPr>
        <w:t xml:space="preserve">En su relación con la sociedad, la universidad promueve la colaboración directa con el sector empresarial para la formación de profesionales, pero siempre bajo el imperativo de evitar que el mercado laboral defina de manera sustancial nuestra relación con la sociedad. La ULSA forma profesionistas con un compromiso social; este es parte del ideario de la misma. No se conceptúa como un bien privado o particular, puesto que su fin no es la preparación laboral </w:t>
      </w:r>
      <w:r w:rsidRPr="00E4327A">
        <w:rPr>
          <w:rFonts w:ascii="Arial" w:hAnsi="Arial" w:cs="Arial"/>
          <w:i/>
          <w:color w:val="000000"/>
        </w:rPr>
        <w:t>per se</w:t>
      </w:r>
      <w:r w:rsidRPr="00BD052E">
        <w:rPr>
          <w:rFonts w:ascii="Arial" w:hAnsi="Arial" w:cs="Arial"/>
          <w:color w:val="000000"/>
        </w:rPr>
        <w:t xml:space="preserve"> de cada uno de sus estudiantes, sino como un bien público, abierto a la formación de personas y a la mejora de la sociedad mexicana actual tiene como finalidad, promover acciones de vinculación y </w:t>
      </w:r>
      <w:r>
        <w:rPr>
          <w:rFonts w:ascii="Arial" w:hAnsi="Arial" w:cs="Arial"/>
          <w:color w:val="000000"/>
        </w:rPr>
        <w:t xml:space="preserve">colaboración con los sectores </w:t>
      </w:r>
      <w:r w:rsidRPr="00BD052E">
        <w:rPr>
          <w:rFonts w:ascii="Arial" w:hAnsi="Arial" w:cs="Arial"/>
          <w:color w:val="000000"/>
        </w:rPr>
        <w:t xml:space="preserve">social, público y privado para mejorar la capacidad de respuesta a las demandas de la sociedad. </w:t>
      </w:r>
    </w:p>
    <w:p w14:paraId="4418F988" w14:textId="77777777" w:rsidR="00A63240" w:rsidRPr="00BD052E" w:rsidRDefault="00A63240" w:rsidP="00A63240">
      <w:pPr>
        <w:tabs>
          <w:tab w:val="left" w:pos="1695"/>
        </w:tabs>
        <w:spacing w:after="0" w:line="360" w:lineRule="auto"/>
        <w:jc w:val="both"/>
        <w:rPr>
          <w:rFonts w:ascii="Arial" w:hAnsi="Arial" w:cs="Arial"/>
          <w:color w:val="000000"/>
        </w:rPr>
      </w:pPr>
      <w:r w:rsidRPr="00BD052E">
        <w:rPr>
          <w:rFonts w:ascii="Arial" w:hAnsi="Arial" w:cs="Arial"/>
          <w:color w:val="000000"/>
        </w:rPr>
        <w:t xml:space="preserve">En cuanto a la relación de la Salle con el conocimiento, la sociedad de la información, hacia la que caminamos mundialmente, tiene como una característica central la generación del conocimiento y circulación de la información en espacios institucionales diversos, con la participación de múltiples agentes y con una velocidad sin precedentes. Toda universidad tiene entre </w:t>
      </w:r>
      <w:r>
        <w:rPr>
          <w:rFonts w:ascii="Arial" w:hAnsi="Arial" w:cs="Arial"/>
          <w:color w:val="000000"/>
        </w:rPr>
        <w:t xml:space="preserve">sus finalidades la circulación </w:t>
      </w:r>
      <w:r w:rsidRPr="00BD052E">
        <w:rPr>
          <w:rFonts w:ascii="Arial" w:hAnsi="Arial" w:cs="Arial"/>
          <w:color w:val="000000"/>
        </w:rPr>
        <w:t>y creación del conocimiento construido por la humanidad, no obstante que han dejado de ser el único espacio para ello. La ULSA, desde su actuar organizado en tres funciones sustantivas propias de su ser univers</w:t>
      </w:r>
      <w:r>
        <w:rPr>
          <w:rFonts w:ascii="Arial" w:hAnsi="Arial" w:cs="Arial"/>
          <w:color w:val="000000"/>
        </w:rPr>
        <w:t>itario (docencia, investigación y</w:t>
      </w:r>
      <w:r w:rsidRPr="00BD052E">
        <w:rPr>
          <w:rFonts w:ascii="Arial" w:hAnsi="Arial" w:cs="Arial"/>
          <w:color w:val="000000"/>
        </w:rPr>
        <w:t xml:space="preserve"> extensión), propicia la generación, reconocimiento, transmisión, asimilación y circulación de los conocimientos científicos, tecnológicos y humanísticos dentro de su recinto y fuera de él para beneficio de la sociedad.</w:t>
      </w:r>
    </w:p>
    <w:p w14:paraId="0D29B3D8" w14:textId="77777777" w:rsidR="00A63240" w:rsidRPr="00BD052E" w:rsidRDefault="00A63240" w:rsidP="00A63240">
      <w:pPr>
        <w:tabs>
          <w:tab w:val="left" w:pos="1695"/>
        </w:tabs>
        <w:spacing w:after="0" w:line="360" w:lineRule="auto"/>
        <w:jc w:val="both"/>
        <w:rPr>
          <w:rFonts w:ascii="Arial" w:hAnsi="Arial" w:cs="Arial"/>
          <w:color w:val="000000"/>
        </w:rPr>
      </w:pPr>
      <w:r w:rsidRPr="00BD052E">
        <w:rPr>
          <w:rFonts w:ascii="Arial" w:hAnsi="Arial" w:cs="Arial"/>
          <w:color w:val="000000"/>
        </w:rPr>
        <w:t xml:space="preserve">Por otra parte, la FMM concibe a la vinculación y a la colaboración como los mecanismos que promueven el crecimiento y la consolidación de las organizaciones e instituciones de educación superior para mejorar su capacidad de respuesta a las demandas de la sociedad. </w:t>
      </w:r>
      <w:r w:rsidRPr="00BD052E">
        <w:rPr>
          <w:rFonts w:ascii="Arial" w:hAnsi="Arial" w:cs="Arial"/>
          <w:color w:val="000000"/>
        </w:rPr>
        <w:lastRenderedPageBreak/>
        <w:t>Busca complementar y compartir recursos humanos y materiales</w:t>
      </w:r>
      <w:r>
        <w:rPr>
          <w:rFonts w:ascii="Arial" w:hAnsi="Arial" w:cs="Arial"/>
          <w:color w:val="000000"/>
        </w:rPr>
        <w:t>,</w:t>
      </w:r>
      <w:r w:rsidRPr="00BD052E">
        <w:rPr>
          <w:rFonts w:ascii="Arial" w:hAnsi="Arial" w:cs="Arial"/>
          <w:color w:val="000000"/>
        </w:rPr>
        <w:t xml:space="preserve"> estableciendo acciones que permitan intercambiar experiencias para coadyuvar al cumplimiento de la misión y de las funciones sustantivas de la institución.</w:t>
      </w:r>
    </w:p>
    <w:p w14:paraId="13E52C5B" w14:textId="77777777" w:rsidR="00A63240" w:rsidRPr="00BD052E" w:rsidRDefault="00A63240" w:rsidP="00A63240">
      <w:pPr>
        <w:tabs>
          <w:tab w:val="left" w:pos="1695"/>
        </w:tabs>
        <w:spacing w:after="0" w:line="360" w:lineRule="auto"/>
        <w:jc w:val="both"/>
        <w:rPr>
          <w:rFonts w:ascii="Arial" w:hAnsi="Arial" w:cs="Arial"/>
          <w:color w:val="000000"/>
        </w:rPr>
      </w:pPr>
      <w:r w:rsidRPr="00BD052E">
        <w:rPr>
          <w:rFonts w:ascii="Arial" w:hAnsi="Arial" w:cs="Arial"/>
          <w:color w:val="000000"/>
        </w:rPr>
        <w:t xml:space="preserve"> La interacción de la FMM con instituciones, organismos, asociaciones u organismos públicos y privados, busca proporcionar oportunidades para que los miembros de la comunidad desarrollen sus capacidades y complementen su formación académica y profesional en beneficio de nuestro país. </w:t>
      </w:r>
    </w:p>
    <w:p w14:paraId="59E34C17" w14:textId="77777777" w:rsidR="00A63240" w:rsidRPr="00BD052E" w:rsidRDefault="00A63240" w:rsidP="00A63240">
      <w:pPr>
        <w:tabs>
          <w:tab w:val="left" w:pos="1695"/>
        </w:tabs>
        <w:spacing w:after="0" w:line="360" w:lineRule="auto"/>
        <w:jc w:val="both"/>
        <w:rPr>
          <w:rFonts w:ascii="Arial" w:hAnsi="Arial" w:cs="Arial"/>
          <w:color w:val="000000"/>
        </w:rPr>
      </w:pPr>
      <w:r w:rsidRPr="00BD052E">
        <w:rPr>
          <w:rFonts w:ascii="Arial" w:hAnsi="Arial" w:cs="Arial"/>
          <w:color w:val="000000"/>
        </w:rPr>
        <w:t>La vinculación de la FMM con los distintos sectores sociales considera:</w:t>
      </w:r>
    </w:p>
    <w:p w14:paraId="7FEAEE8F" w14:textId="77777777" w:rsidR="00A63240" w:rsidRPr="00D12EE8" w:rsidRDefault="00A63240" w:rsidP="00A63240">
      <w:pPr>
        <w:pStyle w:val="Prrafodelista"/>
        <w:numPr>
          <w:ilvl w:val="0"/>
          <w:numId w:val="7"/>
        </w:numPr>
        <w:tabs>
          <w:tab w:val="left" w:pos="1695"/>
        </w:tabs>
        <w:spacing w:after="0" w:line="360" w:lineRule="auto"/>
        <w:jc w:val="both"/>
        <w:rPr>
          <w:rFonts w:ascii="Arial" w:hAnsi="Arial" w:cs="Arial"/>
          <w:color w:val="000000"/>
        </w:rPr>
      </w:pPr>
      <w:r w:rsidRPr="00D12EE8">
        <w:rPr>
          <w:rFonts w:ascii="Arial" w:hAnsi="Arial" w:cs="Arial"/>
          <w:color w:val="000000"/>
        </w:rPr>
        <w:t>Intercambio académico.</w:t>
      </w:r>
    </w:p>
    <w:p w14:paraId="72CEECD7" w14:textId="77777777" w:rsidR="00A63240" w:rsidRPr="00D12EE8" w:rsidRDefault="00A63240" w:rsidP="00A63240">
      <w:pPr>
        <w:pStyle w:val="Prrafodelista"/>
        <w:numPr>
          <w:ilvl w:val="0"/>
          <w:numId w:val="7"/>
        </w:numPr>
        <w:tabs>
          <w:tab w:val="left" w:pos="1695"/>
        </w:tabs>
        <w:spacing w:after="0" w:line="360" w:lineRule="auto"/>
        <w:jc w:val="both"/>
        <w:rPr>
          <w:rFonts w:ascii="Arial" w:hAnsi="Arial" w:cs="Arial"/>
          <w:color w:val="000000"/>
        </w:rPr>
      </w:pPr>
      <w:r w:rsidRPr="00D12EE8">
        <w:rPr>
          <w:rFonts w:ascii="Arial" w:hAnsi="Arial" w:cs="Arial"/>
          <w:color w:val="000000"/>
        </w:rPr>
        <w:t>Servicio social profesional.</w:t>
      </w:r>
    </w:p>
    <w:p w14:paraId="0760EEEB" w14:textId="77777777" w:rsidR="00A63240" w:rsidRPr="00D12EE8" w:rsidRDefault="00A63240" w:rsidP="00A63240">
      <w:pPr>
        <w:pStyle w:val="Prrafodelista"/>
        <w:numPr>
          <w:ilvl w:val="0"/>
          <w:numId w:val="7"/>
        </w:numPr>
        <w:tabs>
          <w:tab w:val="left" w:pos="1695"/>
        </w:tabs>
        <w:spacing w:after="0" w:line="360" w:lineRule="auto"/>
        <w:jc w:val="both"/>
        <w:rPr>
          <w:rFonts w:ascii="Arial" w:hAnsi="Arial" w:cs="Arial"/>
          <w:color w:val="000000"/>
        </w:rPr>
      </w:pPr>
      <w:r w:rsidRPr="00D12EE8">
        <w:rPr>
          <w:rFonts w:ascii="Arial" w:hAnsi="Arial" w:cs="Arial"/>
          <w:color w:val="000000"/>
        </w:rPr>
        <w:t>Pastoral universitaria.</w:t>
      </w:r>
    </w:p>
    <w:p w14:paraId="2CBA55C2" w14:textId="77777777" w:rsidR="00A63240" w:rsidRPr="00D12EE8" w:rsidRDefault="00A63240" w:rsidP="00A63240">
      <w:pPr>
        <w:pStyle w:val="Prrafodelista"/>
        <w:numPr>
          <w:ilvl w:val="0"/>
          <w:numId w:val="7"/>
        </w:numPr>
        <w:tabs>
          <w:tab w:val="left" w:pos="1695"/>
        </w:tabs>
        <w:spacing w:after="0" w:line="360" w:lineRule="auto"/>
        <w:jc w:val="both"/>
        <w:rPr>
          <w:rFonts w:ascii="Arial" w:hAnsi="Arial" w:cs="Arial"/>
          <w:color w:val="000000"/>
        </w:rPr>
      </w:pPr>
      <w:r w:rsidRPr="00D12EE8">
        <w:rPr>
          <w:rFonts w:ascii="Arial" w:hAnsi="Arial" w:cs="Arial"/>
          <w:color w:val="000000"/>
        </w:rPr>
        <w:t>Convenios y acuerdos de colaboración.</w:t>
      </w:r>
    </w:p>
    <w:p w14:paraId="0378C9A6" w14:textId="77777777" w:rsidR="00A63240" w:rsidRPr="00BB522B" w:rsidRDefault="00A63240" w:rsidP="00A63240">
      <w:pPr>
        <w:pStyle w:val="Prrafodelista"/>
        <w:numPr>
          <w:ilvl w:val="0"/>
          <w:numId w:val="7"/>
        </w:numPr>
        <w:tabs>
          <w:tab w:val="left" w:pos="1695"/>
        </w:tabs>
        <w:spacing w:after="0" w:line="360" w:lineRule="auto"/>
        <w:jc w:val="both"/>
        <w:rPr>
          <w:rFonts w:ascii="Arial" w:hAnsi="Arial" w:cs="Arial"/>
          <w:color w:val="000000"/>
        </w:rPr>
      </w:pPr>
      <w:r w:rsidRPr="00BB522B">
        <w:rPr>
          <w:rFonts w:ascii="Arial" w:hAnsi="Arial" w:cs="Arial"/>
          <w:color w:val="000000"/>
        </w:rPr>
        <w:t>Voluntariado.</w:t>
      </w:r>
    </w:p>
    <w:p w14:paraId="683749D4" w14:textId="77777777" w:rsidR="00A63240" w:rsidRPr="00BD052E" w:rsidRDefault="00A63240" w:rsidP="00A63240">
      <w:pPr>
        <w:tabs>
          <w:tab w:val="left" w:pos="1695"/>
        </w:tabs>
        <w:spacing w:after="0" w:line="360" w:lineRule="auto"/>
        <w:jc w:val="both"/>
        <w:rPr>
          <w:rFonts w:ascii="Arial" w:hAnsi="Arial" w:cs="Arial"/>
          <w:color w:val="000000"/>
        </w:rPr>
      </w:pPr>
      <w:r>
        <w:rPr>
          <w:rFonts w:ascii="Arial" w:hAnsi="Arial" w:cs="Arial"/>
          <w:color w:val="000000"/>
        </w:rPr>
        <w:t>Los procesos educativos</w:t>
      </w:r>
      <w:r w:rsidRPr="00BD052E">
        <w:rPr>
          <w:rFonts w:ascii="Arial" w:hAnsi="Arial" w:cs="Arial"/>
          <w:color w:val="000000"/>
        </w:rPr>
        <w:t xml:space="preserve"> en una institución de educación superior son de naturaleza diversa y se concretan en prácticas articuladas, en las que participan distintos sujetos con diferentes saberes, estrategias tendientes a </w:t>
      </w:r>
      <w:r>
        <w:rPr>
          <w:rFonts w:ascii="Arial" w:hAnsi="Arial" w:cs="Arial"/>
          <w:color w:val="000000"/>
        </w:rPr>
        <w:t>finalidades variadas; dentro de esos procesos</w:t>
      </w:r>
      <w:r w:rsidRPr="00BD052E">
        <w:rPr>
          <w:rFonts w:ascii="Arial" w:hAnsi="Arial" w:cs="Arial"/>
          <w:color w:val="000000"/>
        </w:rPr>
        <w:t>, la ULSA se centra en los siguientes:</w:t>
      </w:r>
    </w:p>
    <w:p w14:paraId="2C182C40" w14:textId="77777777" w:rsidR="00A63240" w:rsidRDefault="00A63240" w:rsidP="00A63240">
      <w:pPr>
        <w:tabs>
          <w:tab w:val="left" w:pos="1695"/>
        </w:tabs>
        <w:spacing w:after="0" w:line="360" w:lineRule="auto"/>
        <w:jc w:val="both"/>
        <w:rPr>
          <w:rFonts w:ascii="Arial" w:hAnsi="Arial" w:cs="Arial"/>
          <w:color w:val="000000"/>
        </w:rPr>
      </w:pPr>
    </w:p>
    <w:p w14:paraId="36664BBF" w14:textId="77777777" w:rsidR="00A63240" w:rsidRPr="00BD052E" w:rsidRDefault="00A63240" w:rsidP="00A63240">
      <w:pPr>
        <w:tabs>
          <w:tab w:val="left" w:pos="1695"/>
        </w:tabs>
        <w:spacing w:after="0" w:line="360" w:lineRule="auto"/>
        <w:jc w:val="both"/>
        <w:rPr>
          <w:rFonts w:ascii="Arial" w:hAnsi="Arial" w:cs="Arial"/>
          <w:color w:val="000000"/>
        </w:rPr>
      </w:pPr>
      <w:r w:rsidRPr="00BD052E">
        <w:rPr>
          <w:rFonts w:ascii="Arial" w:hAnsi="Arial" w:cs="Arial"/>
          <w:color w:val="000000"/>
        </w:rPr>
        <w:t>• Procesos de enseñanza y aprendizaje</w:t>
      </w:r>
    </w:p>
    <w:p w14:paraId="0D74B695" w14:textId="77777777" w:rsidR="00A63240" w:rsidRPr="00BD052E" w:rsidRDefault="00A63240" w:rsidP="00A63240">
      <w:pPr>
        <w:tabs>
          <w:tab w:val="left" w:pos="1695"/>
        </w:tabs>
        <w:spacing w:after="0" w:line="360" w:lineRule="auto"/>
        <w:jc w:val="both"/>
        <w:rPr>
          <w:rFonts w:ascii="Arial" w:hAnsi="Arial" w:cs="Arial"/>
          <w:color w:val="000000"/>
        </w:rPr>
      </w:pPr>
      <w:r w:rsidRPr="00BD052E">
        <w:rPr>
          <w:rFonts w:ascii="Arial" w:hAnsi="Arial" w:cs="Arial"/>
          <w:color w:val="000000"/>
        </w:rPr>
        <w:t>La relación implicada en los procesos de enseñanza y aprendizaje es, ante todo, interpersonal, que se da entre cada uno de los sujetos que participa en ella, aportando las trayectorias personal, escolar y laboral, creencias, expectativas, saberes previos, entre otros. Cada sujeto desempeña en ella un rol activo, es uno de los protagonistas y es corresponsable de la misma. Entre todos ellos se establecen vínculos socio-afectivos, basados en i</w:t>
      </w:r>
      <w:r>
        <w:rPr>
          <w:rFonts w:ascii="Arial" w:hAnsi="Arial" w:cs="Arial"/>
          <w:color w:val="000000"/>
        </w:rPr>
        <w:t>ntercambios de ideas, creencias y</w:t>
      </w:r>
      <w:r w:rsidRPr="00BD052E">
        <w:rPr>
          <w:rFonts w:ascii="Arial" w:hAnsi="Arial" w:cs="Arial"/>
          <w:color w:val="000000"/>
        </w:rPr>
        <w:t xml:space="preserve"> sentimientos</w:t>
      </w:r>
      <w:r>
        <w:rPr>
          <w:rFonts w:ascii="Arial" w:hAnsi="Arial" w:cs="Arial"/>
          <w:color w:val="000000"/>
        </w:rPr>
        <w:t>,</w:t>
      </w:r>
      <w:r w:rsidRPr="00BD052E">
        <w:rPr>
          <w:rFonts w:ascii="Arial" w:hAnsi="Arial" w:cs="Arial"/>
          <w:color w:val="000000"/>
        </w:rPr>
        <w:t xml:space="preserve"> que son</w:t>
      </w:r>
      <w:r>
        <w:rPr>
          <w:rFonts w:ascii="Arial" w:hAnsi="Arial" w:cs="Arial"/>
          <w:color w:val="000000"/>
        </w:rPr>
        <w:t>,</w:t>
      </w:r>
      <w:r w:rsidRPr="00BD052E">
        <w:rPr>
          <w:rFonts w:ascii="Arial" w:hAnsi="Arial" w:cs="Arial"/>
          <w:color w:val="000000"/>
        </w:rPr>
        <w:t xml:space="preserve"> tanto un telón de fondo que sostiene los vínculos con los saberes, como fuente de aprendizajes. Estos intercambios pueden efectuarse en agrupamientos diferentes (individuales, grupales, en pequeños equipos) y en modalidades educativas distintas.</w:t>
      </w:r>
    </w:p>
    <w:p w14:paraId="518D1D96" w14:textId="77777777" w:rsidR="00A63240" w:rsidRPr="00BD052E" w:rsidRDefault="00A63240" w:rsidP="00A63240">
      <w:pPr>
        <w:tabs>
          <w:tab w:val="left" w:pos="1695"/>
        </w:tabs>
        <w:spacing w:after="0" w:line="360" w:lineRule="auto"/>
        <w:jc w:val="both"/>
        <w:rPr>
          <w:rFonts w:ascii="Arial" w:hAnsi="Arial" w:cs="Arial"/>
          <w:color w:val="000000"/>
        </w:rPr>
      </w:pPr>
      <w:r w:rsidRPr="00BD052E">
        <w:rPr>
          <w:rFonts w:ascii="Arial" w:hAnsi="Arial" w:cs="Arial"/>
          <w:color w:val="000000"/>
        </w:rPr>
        <w:t>En términos pedagógicos, los procesos de enseñanza y aprendizaje están articulados en torno a las finalidades educativas, los contenidos y las metodologías; oper</w:t>
      </w:r>
      <w:r>
        <w:rPr>
          <w:rFonts w:ascii="Arial" w:hAnsi="Arial" w:cs="Arial"/>
          <w:color w:val="000000"/>
        </w:rPr>
        <w:t>ativamente se ordenan en</w:t>
      </w:r>
      <w:r w:rsidRPr="00BD052E">
        <w:rPr>
          <w:rFonts w:ascii="Arial" w:hAnsi="Arial" w:cs="Arial"/>
          <w:color w:val="000000"/>
        </w:rPr>
        <w:t xml:space="preserve"> unidades didácticas (asignaturas, módulos, cursos, etc.), programas de formación y la normatividad institucional, destacando que, en la formación de posgrado de la FMM, se desarrollan proceso de aprendizaje multinivel y con métodos de enseñanza diversos.</w:t>
      </w:r>
    </w:p>
    <w:p w14:paraId="10A14046" w14:textId="77777777" w:rsidR="00A63240" w:rsidRPr="00BD052E" w:rsidRDefault="00A63240" w:rsidP="00A63240">
      <w:pPr>
        <w:tabs>
          <w:tab w:val="left" w:pos="1695"/>
        </w:tabs>
        <w:spacing w:after="0" w:line="360" w:lineRule="auto"/>
        <w:jc w:val="both"/>
        <w:rPr>
          <w:rFonts w:ascii="Arial" w:hAnsi="Arial" w:cs="Arial"/>
          <w:color w:val="000000"/>
        </w:rPr>
      </w:pPr>
      <w:r w:rsidRPr="00BD052E">
        <w:rPr>
          <w:rFonts w:ascii="Arial" w:hAnsi="Arial" w:cs="Arial"/>
          <w:color w:val="000000"/>
        </w:rPr>
        <w:lastRenderedPageBreak/>
        <w:t>• Procesos grupales</w:t>
      </w:r>
    </w:p>
    <w:p w14:paraId="152B89EF" w14:textId="77777777" w:rsidR="00A63240" w:rsidRPr="00BD052E" w:rsidRDefault="00A63240" w:rsidP="00A63240">
      <w:pPr>
        <w:tabs>
          <w:tab w:val="left" w:pos="1695"/>
        </w:tabs>
        <w:spacing w:after="0" w:line="360" w:lineRule="auto"/>
        <w:jc w:val="both"/>
        <w:rPr>
          <w:rFonts w:ascii="Arial" w:hAnsi="Arial" w:cs="Arial"/>
          <w:color w:val="000000"/>
        </w:rPr>
      </w:pPr>
      <w:r w:rsidRPr="00BD052E">
        <w:rPr>
          <w:rFonts w:ascii="Arial" w:hAnsi="Arial" w:cs="Arial"/>
          <w:color w:val="000000"/>
        </w:rPr>
        <w:t>La ULSA propicia aprendizajes de manera sistemática y explícita</w:t>
      </w:r>
      <w:r>
        <w:rPr>
          <w:rFonts w:ascii="Arial" w:hAnsi="Arial" w:cs="Arial"/>
          <w:color w:val="000000"/>
        </w:rPr>
        <w:t>,</w:t>
      </w:r>
      <w:r w:rsidRPr="00BD052E">
        <w:rPr>
          <w:rFonts w:ascii="Arial" w:hAnsi="Arial" w:cs="Arial"/>
          <w:color w:val="000000"/>
        </w:rPr>
        <w:t xml:space="preserve"> a través del quehacer de su cuerpo docente en la</w:t>
      </w:r>
      <w:r>
        <w:rPr>
          <w:rFonts w:ascii="Arial" w:hAnsi="Arial" w:cs="Arial"/>
          <w:color w:val="000000"/>
        </w:rPr>
        <w:t xml:space="preserve">s aulas, pero también mediante </w:t>
      </w:r>
      <w:r w:rsidRPr="00BD052E">
        <w:rPr>
          <w:rFonts w:ascii="Arial" w:hAnsi="Arial" w:cs="Arial"/>
          <w:color w:val="000000"/>
        </w:rPr>
        <w:t>el intercambio que propicia la dinámica interna de cada uno de los grupos que se constituyen con determinados propósitos y conocimientos (y, por ende, saberes), donde cada quien aport</w:t>
      </w:r>
      <w:r>
        <w:rPr>
          <w:rFonts w:ascii="Arial" w:hAnsi="Arial" w:cs="Arial"/>
          <w:color w:val="000000"/>
        </w:rPr>
        <w:t>a ideas, argumentos y</w:t>
      </w:r>
      <w:r w:rsidRPr="00BD052E">
        <w:rPr>
          <w:rFonts w:ascii="Arial" w:hAnsi="Arial" w:cs="Arial"/>
          <w:color w:val="000000"/>
        </w:rPr>
        <w:t xml:space="preserve"> conocimientos hacia la consecución de finalidades diversas. No se centran en la transmisión de conocimientos, sino en la investigación, diseño curricular, proyectos estratégicos, gestión administrativa, formación de líderes</w:t>
      </w:r>
      <w:r>
        <w:rPr>
          <w:rFonts w:ascii="Arial" w:hAnsi="Arial" w:cs="Arial"/>
          <w:color w:val="000000"/>
        </w:rPr>
        <w:t xml:space="preserve"> y</w:t>
      </w:r>
      <w:r w:rsidRPr="00BD052E">
        <w:rPr>
          <w:rFonts w:ascii="Arial" w:hAnsi="Arial" w:cs="Arial"/>
          <w:color w:val="000000"/>
        </w:rPr>
        <w:t xml:space="preserve"> atención a necesidades sociales, por mencionar algunas.</w:t>
      </w:r>
    </w:p>
    <w:p w14:paraId="42575AC2" w14:textId="77777777" w:rsidR="00A63240" w:rsidRPr="00BD052E" w:rsidRDefault="00A63240" w:rsidP="00A63240">
      <w:pPr>
        <w:tabs>
          <w:tab w:val="left" w:pos="1695"/>
        </w:tabs>
        <w:spacing w:after="0" w:line="360" w:lineRule="auto"/>
        <w:jc w:val="both"/>
        <w:rPr>
          <w:rFonts w:ascii="Arial" w:hAnsi="Arial" w:cs="Arial"/>
          <w:color w:val="000000"/>
        </w:rPr>
      </w:pPr>
    </w:p>
    <w:p w14:paraId="2C41A283" w14:textId="77777777" w:rsidR="00A63240" w:rsidRPr="00BD052E" w:rsidRDefault="00A63240" w:rsidP="00A63240">
      <w:pPr>
        <w:tabs>
          <w:tab w:val="left" w:pos="1695"/>
        </w:tabs>
        <w:spacing w:after="0" w:line="360" w:lineRule="auto"/>
        <w:jc w:val="both"/>
        <w:rPr>
          <w:rFonts w:ascii="Arial" w:hAnsi="Arial" w:cs="Arial"/>
          <w:color w:val="000000"/>
        </w:rPr>
      </w:pPr>
      <w:r w:rsidRPr="00BD052E">
        <w:rPr>
          <w:rFonts w:ascii="Arial" w:hAnsi="Arial" w:cs="Arial"/>
          <w:color w:val="000000"/>
        </w:rPr>
        <w:t>• Procesos de orientación</w:t>
      </w:r>
    </w:p>
    <w:p w14:paraId="6D0453DA" w14:textId="77777777" w:rsidR="00A63240" w:rsidRPr="00BD052E" w:rsidRDefault="00A63240" w:rsidP="00A63240">
      <w:pPr>
        <w:tabs>
          <w:tab w:val="left" w:pos="1695"/>
        </w:tabs>
        <w:spacing w:after="0" w:line="360" w:lineRule="auto"/>
        <w:jc w:val="both"/>
        <w:rPr>
          <w:rFonts w:ascii="Arial" w:hAnsi="Arial" w:cs="Arial"/>
          <w:color w:val="000000"/>
        </w:rPr>
      </w:pPr>
      <w:r w:rsidRPr="00BD052E">
        <w:rPr>
          <w:rFonts w:ascii="Arial" w:hAnsi="Arial" w:cs="Arial"/>
          <w:color w:val="000000"/>
        </w:rPr>
        <w:t xml:space="preserve">Son procesos mediados por saberes de orden disciplinario, pedagógico, psicológico, espiritual e institucional, que tienden al desarrollo personal, social y profesional, a lo largo de toda la vida, de determinadas capacidades en los sujetos y su contexto, mediante principios de prevención, desarrollo e intervención social. Dentro de los procesos de orientación se encuentran los de acompañamiento y los de tutoría, que en cuanto tales no tienen una definición única y operan de maneras muy diversas en la educación superior. El acompañamiento, centrado en el desarrollo personal y la tutoría en el </w:t>
      </w:r>
      <w:r>
        <w:rPr>
          <w:rFonts w:ascii="Arial" w:hAnsi="Arial" w:cs="Arial"/>
          <w:color w:val="000000"/>
        </w:rPr>
        <w:t>desarrollo académico y</w:t>
      </w:r>
      <w:r w:rsidRPr="00BD052E">
        <w:rPr>
          <w:rFonts w:ascii="Arial" w:hAnsi="Arial" w:cs="Arial"/>
          <w:color w:val="000000"/>
        </w:rPr>
        <w:t xml:space="preserve"> en e</w:t>
      </w:r>
      <w:r>
        <w:rPr>
          <w:rFonts w:ascii="Arial" w:hAnsi="Arial" w:cs="Arial"/>
          <w:color w:val="000000"/>
        </w:rPr>
        <w:t>l aprendizaje de la profesión; s</w:t>
      </w:r>
      <w:r w:rsidRPr="00BD052E">
        <w:rPr>
          <w:rFonts w:ascii="Arial" w:hAnsi="Arial" w:cs="Arial"/>
          <w:color w:val="000000"/>
        </w:rPr>
        <w:t>e incluyen en ellos funciones de asesoría, de orientación vocacional y profesiográfica</w:t>
      </w:r>
      <w:r>
        <w:rPr>
          <w:rFonts w:ascii="Arial" w:hAnsi="Arial" w:cs="Arial"/>
          <w:color w:val="000000"/>
        </w:rPr>
        <w:t>.</w:t>
      </w:r>
    </w:p>
    <w:p w14:paraId="5A11D159" w14:textId="77777777" w:rsidR="00A63240" w:rsidRPr="00BD052E" w:rsidRDefault="00A63240" w:rsidP="00A63240">
      <w:pPr>
        <w:tabs>
          <w:tab w:val="left" w:pos="1695"/>
        </w:tabs>
        <w:spacing w:after="0" w:line="360" w:lineRule="auto"/>
        <w:jc w:val="both"/>
        <w:rPr>
          <w:rFonts w:ascii="Arial" w:hAnsi="Arial" w:cs="Arial"/>
          <w:color w:val="000000"/>
        </w:rPr>
      </w:pPr>
    </w:p>
    <w:p w14:paraId="7899269C" w14:textId="77777777" w:rsidR="00A63240" w:rsidRPr="00BD052E" w:rsidRDefault="00A63240" w:rsidP="00A63240">
      <w:pPr>
        <w:tabs>
          <w:tab w:val="left" w:pos="1695"/>
        </w:tabs>
        <w:spacing w:after="0" w:line="360" w:lineRule="auto"/>
        <w:jc w:val="both"/>
        <w:rPr>
          <w:rFonts w:ascii="Arial" w:hAnsi="Arial" w:cs="Arial"/>
          <w:color w:val="000000"/>
        </w:rPr>
      </w:pPr>
      <w:r w:rsidRPr="00BD052E">
        <w:rPr>
          <w:rFonts w:ascii="Arial" w:hAnsi="Arial" w:cs="Arial"/>
          <w:color w:val="000000"/>
        </w:rPr>
        <w:t>El proyecto académico, orienta la dirección del crecimiento y del desarrollo de la actividad académica de la universidad, para lo cual pretende integrar a las diversas unidades académicas y dependencias, como la FMM, en torno a propósitos trascendentes para el desarrollo universitario, pero acotados temporalmente.</w:t>
      </w:r>
    </w:p>
    <w:p w14:paraId="266B225D" w14:textId="77777777" w:rsidR="00A63240" w:rsidRPr="00BD052E" w:rsidRDefault="00A63240" w:rsidP="00A63240">
      <w:pPr>
        <w:tabs>
          <w:tab w:val="left" w:pos="1695"/>
        </w:tabs>
        <w:spacing w:after="0" w:line="360" w:lineRule="auto"/>
        <w:jc w:val="both"/>
        <w:rPr>
          <w:rFonts w:ascii="Arial" w:hAnsi="Arial" w:cs="Arial"/>
          <w:color w:val="000000"/>
        </w:rPr>
      </w:pPr>
      <w:r w:rsidRPr="00BD052E">
        <w:rPr>
          <w:rFonts w:ascii="Arial" w:hAnsi="Arial" w:cs="Arial"/>
          <w:color w:val="000000"/>
        </w:rPr>
        <w:t>Lo académico en la ULSA es una construcción de elementos estructurales, normativos, funcionales, relacionales (científ</w:t>
      </w:r>
      <w:r>
        <w:rPr>
          <w:rFonts w:ascii="Arial" w:hAnsi="Arial" w:cs="Arial"/>
          <w:color w:val="000000"/>
        </w:rPr>
        <w:t>icos, profesionales, formativos,</w:t>
      </w:r>
      <w:r w:rsidRPr="00BD052E">
        <w:rPr>
          <w:rFonts w:ascii="Arial" w:hAnsi="Arial" w:cs="Arial"/>
          <w:color w:val="000000"/>
        </w:rPr>
        <w:t xml:space="preserve"> pedagógicos) y humanos que atraviesa las funciones</w:t>
      </w:r>
      <w:r>
        <w:rPr>
          <w:rFonts w:ascii="Arial" w:hAnsi="Arial" w:cs="Arial"/>
          <w:color w:val="000000"/>
        </w:rPr>
        <w:t xml:space="preserve"> sustantivas y la adjetiva. Las </w:t>
      </w:r>
      <w:r w:rsidRPr="00BD052E">
        <w:rPr>
          <w:rFonts w:ascii="Arial" w:hAnsi="Arial" w:cs="Arial"/>
          <w:color w:val="000000"/>
        </w:rPr>
        <w:t>funciones sustantivas en la actividad académica implica</w:t>
      </w:r>
      <w:r>
        <w:rPr>
          <w:rFonts w:ascii="Arial" w:hAnsi="Arial" w:cs="Arial"/>
          <w:color w:val="000000"/>
        </w:rPr>
        <w:t>n</w:t>
      </w:r>
      <w:r w:rsidRPr="00BD052E">
        <w:rPr>
          <w:rFonts w:ascii="Arial" w:hAnsi="Arial" w:cs="Arial"/>
          <w:color w:val="000000"/>
        </w:rPr>
        <w:t xml:space="preserve"> la docencia como medio para conservar, dar continuidad y recrear a los conocimientos y saberes disciplinarios y humanistas, la investigación que está llamada a producir avances en los conocimientos, además de pertinencia en la disciplina e innovación en ámbitos de aplicación. </w:t>
      </w:r>
    </w:p>
    <w:p w14:paraId="77120EA4" w14:textId="77777777" w:rsidR="00A63240" w:rsidRPr="00BD052E" w:rsidRDefault="00A63240" w:rsidP="00A63240">
      <w:pPr>
        <w:tabs>
          <w:tab w:val="left" w:pos="1695"/>
        </w:tabs>
        <w:spacing w:after="0" w:line="360" w:lineRule="auto"/>
        <w:jc w:val="both"/>
        <w:rPr>
          <w:rFonts w:ascii="Arial" w:hAnsi="Arial" w:cs="Arial"/>
          <w:color w:val="000000"/>
        </w:rPr>
      </w:pPr>
      <w:r w:rsidRPr="00BD052E">
        <w:rPr>
          <w:rFonts w:ascii="Arial" w:hAnsi="Arial" w:cs="Arial"/>
          <w:color w:val="000000"/>
        </w:rPr>
        <w:t>Por su parte la extensión otorga</w:t>
      </w:r>
      <w:r>
        <w:rPr>
          <w:rFonts w:ascii="Arial" w:hAnsi="Arial" w:cs="Arial"/>
          <w:color w:val="000000"/>
        </w:rPr>
        <w:t>,</w:t>
      </w:r>
      <w:r w:rsidRPr="00BD052E">
        <w:rPr>
          <w:rFonts w:ascii="Arial" w:hAnsi="Arial" w:cs="Arial"/>
          <w:color w:val="000000"/>
        </w:rPr>
        <w:t xml:space="preserve"> al </w:t>
      </w:r>
      <w:r>
        <w:rPr>
          <w:rFonts w:ascii="Arial" w:hAnsi="Arial" w:cs="Arial"/>
          <w:color w:val="000000"/>
        </w:rPr>
        <w:t>campo</w:t>
      </w:r>
      <w:r w:rsidRPr="00BD052E">
        <w:rPr>
          <w:rFonts w:ascii="Arial" w:hAnsi="Arial" w:cs="Arial"/>
          <w:color w:val="000000"/>
        </w:rPr>
        <w:t xml:space="preserve"> disciplinario</w:t>
      </w:r>
      <w:r>
        <w:rPr>
          <w:rFonts w:ascii="Arial" w:hAnsi="Arial" w:cs="Arial"/>
          <w:color w:val="000000"/>
        </w:rPr>
        <w:t>,</w:t>
      </w:r>
      <w:r w:rsidRPr="00BD052E">
        <w:rPr>
          <w:rFonts w:ascii="Arial" w:hAnsi="Arial" w:cs="Arial"/>
          <w:color w:val="000000"/>
        </w:rPr>
        <w:t xml:space="preserve"> el contacto directo con las necesidades y expectativas</w:t>
      </w:r>
      <w:r>
        <w:rPr>
          <w:rFonts w:ascii="Arial" w:hAnsi="Arial" w:cs="Arial"/>
          <w:color w:val="000000"/>
        </w:rPr>
        <w:t xml:space="preserve"> sociales, que son la</w:t>
      </w:r>
      <w:r w:rsidRPr="00BD052E">
        <w:rPr>
          <w:rFonts w:ascii="Arial" w:hAnsi="Arial" w:cs="Arial"/>
          <w:color w:val="000000"/>
        </w:rPr>
        <w:t xml:space="preserve"> fuente del desarrollo de la disciplina.</w:t>
      </w:r>
    </w:p>
    <w:p w14:paraId="0AC8A703" w14:textId="77777777" w:rsidR="00A63240" w:rsidRPr="00BD052E" w:rsidRDefault="00A63240" w:rsidP="00A63240">
      <w:pPr>
        <w:tabs>
          <w:tab w:val="left" w:pos="1695"/>
        </w:tabs>
        <w:spacing w:after="0" w:line="360" w:lineRule="auto"/>
        <w:jc w:val="both"/>
        <w:rPr>
          <w:rFonts w:ascii="Arial" w:hAnsi="Arial" w:cs="Arial"/>
          <w:color w:val="000000"/>
        </w:rPr>
      </w:pPr>
      <w:r w:rsidRPr="00BD052E">
        <w:rPr>
          <w:rFonts w:ascii="Arial" w:hAnsi="Arial" w:cs="Arial"/>
          <w:color w:val="000000"/>
        </w:rPr>
        <w:lastRenderedPageBreak/>
        <w:t>Este proyecto se constituye como referente estructurador de la planeación institucional, lo que implica que las intenciones estratégicas se encuentren asociadas al desarrollo académico trazado y que los proyectos de naturaleza distinta se alinean en el mismo sentido.</w:t>
      </w:r>
    </w:p>
    <w:p w14:paraId="4B9C8ED6" w14:textId="4EBBD443" w:rsidR="00954059" w:rsidRDefault="00A63240" w:rsidP="00A63240">
      <w:pPr>
        <w:tabs>
          <w:tab w:val="left" w:pos="1695"/>
        </w:tabs>
        <w:spacing w:after="0" w:line="360" w:lineRule="auto"/>
        <w:jc w:val="both"/>
        <w:rPr>
          <w:rFonts w:ascii="Arial" w:hAnsi="Arial" w:cs="Arial"/>
          <w:color w:val="000000"/>
        </w:rPr>
      </w:pPr>
      <w:r w:rsidRPr="00BD052E">
        <w:rPr>
          <w:rFonts w:ascii="Arial" w:hAnsi="Arial" w:cs="Arial"/>
          <w:color w:val="000000"/>
        </w:rPr>
        <w:t>En esta lógica se postula el currículum institucional</w:t>
      </w:r>
      <w:r>
        <w:rPr>
          <w:rFonts w:ascii="Arial" w:hAnsi="Arial" w:cs="Arial"/>
          <w:color w:val="000000"/>
        </w:rPr>
        <w:t>,</w:t>
      </w:r>
      <w:r w:rsidRPr="00BD052E">
        <w:rPr>
          <w:rFonts w:ascii="Arial" w:hAnsi="Arial" w:cs="Arial"/>
          <w:color w:val="000000"/>
        </w:rPr>
        <w:t xml:space="preserve"> como aquel constructo que permite traducir la intencionalidad formativa en programas y acciones concretas, que contribuyan a conformar las capacidades y valores de cada estudiante y colaborador. Este currículum excede los planos formal y no formal al incorporar el informal, en una lógica de ambiente que propicia la formación circunscrita al contexto institucional de la FMM</w:t>
      </w:r>
      <w:r>
        <w:rPr>
          <w:rFonts w:ascii="Arial" w:hAnsi="Arial" w:cs="Arial"/>
          <w:color w:val="000000"/>
        </w:rPr>
        <w:t>,</w:t>
      </w:r>
      <w:r w:rsidRPr="00BD052E">
        <w:rPr>
          <w:rFonts w:ascii="Arial" w:hAnsi="Arial" w:cs="Arial"/>
          <w:color w:val="000000"/>
        </w:rPr>
        <w:t xml:space="preserve"> y sus programas de pregrado y posgrado para el desarrollo de las ciencias clínicas y quirúrgicas en la formación de especialistas médicos.</w:t>
      </w:r>
    </w:p>
    <w:p w14:paraId="50208B52" w14:textId="77777777" w:rsidR="008F5974" w:rsidRPr="003327AE" w:rsidRDefault="008F5974" w:rsidP="007F2637">
      <w:pPr>
        <w:tabs>
          <w:tab w:val="left" w:pos="1695"/>
        </w:tabs>
        <w:spacing w:after="0" w:line="360" w:lineRule="auto"/>
        <w:jc w:val="both"/>
        <w:rPr>
          <w:rFonts w:ascii="Arial" w:hAnsi="Arial" w:cs="Arial"/>
        </w:rPr>
      </w:pPr>
    </w:p>
    <w:p w14:paraId="0B8DB1FE" w14:textId="77777777" w:rsidR="005B6CA1" w:rsidRPr="005B6CA1" w:rsidRDefault="006046FB" w:rsidP="005B6CA1">
      <w:pPr>
        <w:spacing w:after="0" w:line="360" w:lineRule="auto"/>
        <w:rPr>
          <w:rFonts w:ascii="Arial" w:hAnsi="Arial" w:cs="Arial"/>
          <w:b/>
        </w:rPr>
      </w:pPr>
      <w:r>
        <w:rPr>
          <w:rFonts w:ascii="Arial" w:hAnsi="Arial" w:cs="Arial"/>
          <w:b/>
        </w:rPr>
        <w:t>I</w:t>
      </w:r>
      <w:r w:rsidR="005B44CA">
        <w:rPr>
          <w:rFonts w:ascii="Arial" w:hAnsi="Arial" w:cs="Arial"/>
          <w:b/>
        </w:rPr>
        <w:t>I</w:t>
      </w:r>
      <w:r w:rsidR="005B6CA1" w:rsidRPr="005B6CA1">
        <w:rPr>
          <w:rFonts w:ascii="Arial" w:hAnsi="Arial" w:cs="Arial"/>
          <w:b/>
        </w:rPr>
        <w:t>. IDENTIFICACIÓN DE NECESIDADES SOCIALES</w:t>
      </w:r>
    </w:p>
    <w:p w14:paraId="55F211A6" w14:textId="77777777" w:rsidR="005B6CA1" w:rsidRPr="005B6CA1" w:rsidRDefault="005B6CA1" w:rsidP="005B6CA1">
      <w:pPr>
        <w:spacing w:after="0" w:line="360" w:lineRule="auto"/>
        <w:rPr>
          <w:rFonts w:ascii="Arial" w:hAnsi="Arial" w:cs="Arial"/>
        </w:rPr>
      </w:pPr>
    </w:p>
    <w:p w14:paraId="429BE5DF" w14:textId="77777777" w:rsidR="005B6CA1" w:rsidRPr="005B6CA1" w:rsidRDefault="006046FB" w:rsidP="005B6CA1">
      <w:pPr>
        <w:spacing w:after="0" w:line="360" w:lineRule="auto"/>
        <w:rPr>
          <w:rFonts w:ascii="Arial" w:hAnsi="Arial" w:cs="Arial"/>
        </w:rPr>
      </w:pPr>
      <w:r>
        <w:rPr>
          <w:rFonts w:ascii="Arial" w:hAnsi="Arial" w:cs="Arial"/>
          <w:b/>
        </w:rPr>
        <w:t>2</w:t>
      </w:r>
      <w:r w:rsidR="005B6CA1" w:rsidRPr="005B6CA1">
        <w:rPr>
          <w:rFonts w:ascii="Arial" w:hAnsi="Arial" w:cs="Arial"/>
          <w:b/>
        </w:rPr>
        <w:t>.</w:t>
      </w:r>
      <w:r w:rsidR="005B44CA">
        <w:rPr>
          <w:rFonts w:ascii="Arial" w:hAnsi="Arial" w:cs="Arial"/>
          <w:b/>
        </w:rPr>
        <w:t>1.</w:t>
      </w:r>
      <w:r w:rsidR="005B6CA1" w:rsidRPr="005B6CA1">
        <w:rPr>
          <w:rFonts w:ascii="Arial" w:hAnsi="Arial" w:cs="Arial"/>
        </w:rPr>
        <w:t xml:space="preserve"> </w:t>
      </w:r>
      <w:r w:rsidR="005B6CA1" w:rsidRPr="005B6CA1">
        <w:rPr>
          <w:rFonts w:ascii="Arial" w:hAnsi="Arial" w:cs="Arial"/>
          <w:b/>
        </w:rPr>
        <w:t>PERFIL DEMOGRÁFICO</w:t>
      </w:r>
    </w:p>
    <w:p w14:paraId="47DA2718" w14:textId="77777777" w:rsidR="00461D21" w:rsidRPr="005B6CA1" w:rsidRDefault="00461D21" w:rsidP="00461D21">
      <w:pPr>
        <w:spacing w:line="360" w:lineRule="auto"/>
        <w:jc w:val="both"/>
        <w:rPr>
          <w:rFonts w:ascii="Arial" w:hAnsi="Arial" w:cs="Arial"/>
        </w:rPr>
      </w:pPr>
      <w:r w:rsidRPr="005B6CA1">
        <w:rPr>
          <w:rFonts w:ascii="Arial" w:hAnsi="Arial" w:cs="Arial"/>
        </w:rPr>
        <w:t>Desde el siglo XX, México ha experimentado diversos cambios en los ámbitos social, económico, tecnológico, territorial, demográfico y de salud pública, lo cual ha llevado a una conjunción de diversas dinámicas demográficas y de salud; entre ellas la disminución de la mortalidad, el descenso de la fecundidad, el aumento de la esperanza de vida, desplazamiento en la prevalencia de las enfermedades transmisibles por las no transmisibles; desplazamiento de la mortalidad como fuerza predominante por la morbilidad, sus secuelas y limitantes</w:t>
      </w:r>
      <w:r w:rsidRPr="005B6CA1">
        <w:rPr>
          <w:rStyle w:val="Refdenotaalpie"/>
          <w:rFonts w:ascii="Arial" w:hAnsi="Arial" w:cs="Arial"/>
        </w:rPr>
        <w:footnoteReference w:id="4"/>
      </w:r>
      <w:r w:rsidRPr="005B6CA1">
        <w:rPr>
          <w:rFonts w:ascii="Arial" w:hAnsi="Arial" w:cs="Arial"/>
        </w:rPr>
        <w:t xml:space="preserve"> </w:t>
      </w:r>
      <w:r w:rsidRPr="005B6CA1">
        <w:rPr>
          <w:rStyle w:val="Refdenotaalpie"/>
          <w:rFonts w:ascii="Arial" w:hAnsi="Arial" w:cs="Arial"/>
        </w:rPr>
        <w:footnoteReference w:id="5"/>
      </w:r>
      <w:r w:rsidRPr="005B6CA1">
        <w:rPr>
          <w:rFonts w:ascii="Arial" w:hAnsi="Arial" w:cs="Arial"/>
        </w:rPr>
        <w:t>.</w:t>
      </w:r>
    </w:p>
    <w:p w14:paraId="171AA38E" w14:textId="77777777" w:rsidR="00461D21" w:rsidRDefault="00461D21" w:rsidP="00461D21">
      <w:pPr>
        <w:spacing w:line="360" w:lineRule="auto"/>
        <w:jc w:val="both"/>
        <w:rPr>
          <w:rFonts w:ascii="Arial" w:hAnsi="Arial" w:cs="Arial"/>
        </w:rPr>
      </w:pPr>
      <w:r w:rsidRPr="005B6CA1">
        <w:rPr>
          <w:rFonts w:ascii="Arial" w:hAnsi="Arial" w:cs="Arial"/>
        </w:rPr>
        <w:t>En el ámbito demográfico, la evolución de los regímenes del país ha provocado un rápido crecimiento poblacional, así como un continuo proceso de envejecimiento de la población. En cuanto al volumen poblacional, el Consejo Nacional de Población (</w:t>
      </w:r>
      <w:r>
        <w:rPr>
          <w:rFonts w:ascii="Arial" w:hAnsi="Arial" w:cs="Arial"/>
        </w:rPr>
        <w:t>CONAPO) proyecta una población</w:t>
      </w:r>
      <w:r w:rsidRPr="005B6CA1">
        <w:rPr>
          <w:rFonts w:ascii="Arial" w:hAnsi="Arial" w:cs="Arial"/>
        </w:rPr>
        <w:t xml:space="preserve"> a mitad del 2019 de 126.5 millones de habitantes; por sexos, las mujeres re</w:t>
      </w:r>
      <w:r>
        <w:rPr>
          <w:rFonts w:ascii="Arial" w:hAnsi="Arial" w:cs="Arial"/>
        </w:rPr>
        <w:t>presentan 51% y los hombres 49%</w:t>
      </w:r>
      <w:r w:rsidRPr="005B6CA1">
        <w:rPr>
          <w:rStyle w:val="Refdenotaalpie"/>
          <w:rFonts w:ascii="Arial" w:hAnsi="Arial" w:cs="Arial"/>
        </w:rPr>
        <w:footnoteReference w:id="6"/>
      </w:r>
      <w:r w:rsidRPr="005B6CA1">
        <w:rPr>
          <w:rFonts w:ascii="Arial" w:hAnsi="Arial" w:cs="Arial"/>
        </w:rPr>
        <w:t xml:space="preserve">. En cuanto a la estructura etaria (Gráfica 1), los grupos poblaciones más jóvenes (0-19 años) aún constituyen los de mayor importancia </w:t>
      </w:r>
      <w:r w:rsidRPr="005B6CA1">
        <w:rPr>
          <w:rFonts w:ascii="Arial" w:hAnsi="Arial" w:cs="Arial"/>
        </w:rPr>
        <w:lastRenderedPageBreak/>
        <w:t>tanto en términos relativos como absolutos; 35% de la población nacional se ubica entre los 0 a 19 años de edad</w:t>
      </w:r>
      <w:r>
        <w:rPr>
          <w:rFonts w:ascii="Arial" w:hAnsi="Arial" w:cs="Arial"/>
        </w:rPr>
        <w:t>, es decir, 44.1 millones de niños y jóvenes</w:t>
      </w:r>
      <w:r w:rsidRPr="005B6CA1">
        <w:rPr>
          <w:rFonts w:ascii="Arial" w:hAnsi="Arial" w:cs="Arial"/>
        </w:rPr>
        <w:t>.</w:t>
      </w:r>
      <w:r>
        <w:rPr>
          <w:rFonts w:ascii="Arial" w:hAnsi="Arial" w:cs="Arial"/>
        </w:rPr>
        <w:t xml:space="preserve"> </w:t>
      </w:r>
      <w:r w:rsidRPr="00A86CC2">
        <w:rPr>
          <w:rFonts w:ascii="Arial" w:hAnsi="Arial" w:cs="Arial"/>
        </w:rPr>
        <w:t>Aunque la misma evolución demográfica del país acuse un envejecimiento poblacional a largo plazo (Gráfica 1), la estructura etaria del país es aún bastante joven y expansiva debido a nivel</w:t>
      </w:r>
      <w:r>
        <w:rPr>
          <w:rFonts w:ascii="Arial" w:hAnsi="Arial" w:cs="Arial"/>
        </w:rPr>
        <w:t xml:space="preserve">es aún superiores de natalidad; por lo tanto, dicha población aún representa la de mayor importancia en cuanto a volumen. </w:t>
      </w:r>
      <w:r w:rsidRPr="00487D92">
        <w:rPr>
          <w:rFonts w:ascii="Arial" w:hAnsi="Arial" w:cs="Arial"/>
        </w:rPr>
        <w:t xml:space="preserve">En el horizonte de 2050, </w:t>
      </w:r>
      <w:r>
        <w:rPr>
          <w:rFonts w:ascii="Arial" w:hAnsi="Arial" w:cs="Arial"/>
        </w:rPr>
        <w:t xml:space="preserve">CONAPO proyecta una población de alrededor de 148.2 millones de habitantes, así como una </w:t>
      </w:r>
      <w:r w:rsidRPr="00487D92">
        <w:rPr>
          <w:rFonts w:ascii="Arial" w:hAnsi="Arial" w:cs="Arial"/>
        </w:rPr>
        <w:t>población re</w:t>
      </w:r>
      <w:r>
        <w:rPr>
          <w:rFonts w:ascii="Arial" w:hAnsi="Arial" w:cs="Arial"/>
        </w:rPr>
        <w:t xml:space="preserve">gresiva: </w:t>
      </w:r>
      <w:r w:rsidRPr="00487D92">
        <w:rPr>
          <w:rFonts w:ascii="Arial" w:hAnsi="Arial" w:cs="Arial"/>
        </w:rPr>
        <w:t>poca natalidad y mayor</w:t>
      </w:r>
      <w:r>
        <w:rPr>
          <w:rFonts w:ascii="Arial" w:hAnsi="Arial" w:cs="Arial"/>
        </w:rPr>
        <w:t xml:space="preserve"> número de personas envejecidas. En cuanto al grupo etario más joven (0-19 años), esta habrá de a </w:t>
      </w:r>
      <w:r w:rsidRPr="00487D92">
        <w:rPr>
          <w:rFonts w:ascii="Arial" w:hAnsi="Arial" w:cs="Arial"/>
        </w:rPr>
        <w:t xml:space="preserve">36 millones de personas, </w:t>
      </w:r>
      <w:r>
        <w:rPr>
          <w:rFonts w:ascii="Arial" w:hAnsi="Arial" w:cs="Arial"/>
        </w:rPr>
        <w:t xml:space="preserve">es decir, representará 24.3% de la población en México; en términos absolutos y relativos, dicha población </w:t>
      </w:r>
      <w:r w:rsidRPr="0009023C">
        <w:rPr>
          <w:rFonts w:ascii="Arial" w:hAnsi="Arial" w:cs="Arial"/>
        </w:rPr>
        <w:t>el cual seguirá demandando recursos socioeconómicos y de salud, conforme a la evolución del esquema de morbimortalidad del país</w:t>
      </w:r>
      <w:r>
        <w:rPr>
          <w:rFonts w:ascii="Arial" w:hAnsi="Arial" w:cs="Arial"/>
        </w:rPr>
        <w:t xml:space="preserve"> y de la coyuntura socioeconómica</w:t>
      </w:r>
      <w:r w:rsidRPr="0009023C">
        <w:rPr>
          <w:rFonts w:ascii="Arial" w:hAnsi="Arial" w:cs="Arial"/>
        </w:rPr>
        <w:t>.</w:t>
      </w:r>
    </w:p>
    <w:p w14:paraId="74013E46" w14:textId="77777777" w:rsidR="00461D21" w:rsidRPr="005B6CA1" w:rsidRDefault="00461D21" w:rsidP="00461D21">
      <w:pPr>
        <w:spacing w:line="360" w:lineRule="auto"/>
        <w:jc w:val="center"/>
        <w:rPr>
          <w:rFonts w:ascii="Arial" w:hAnsi="Arial" w:cs="Arial"/>
          <w:b/>
        </w:rPr>
      </w:pPr>
      <w:r w:rsidRPr="005B6CA1">
        <w:rPr>
          <w:rFonts w:ascii="Arial" w:hAnsi="Arial" w:cs="Arial"/>
          <w:b/>
        </w:rPr>
        <w:t>Gráfica 1. Estructura etaria en México, 2019 y 2050.</w:t>
      </w:r>
    </w:p>
    <w:p w14:paraId="6EBEEC67" w14:textId="77777777" w:rsidR="00461D21" w:rsidRPr="005B6CA1" w:rsidRDefault="00461D21" w:rsidP="00461D21">
      <w:pPr>
        <w:spacing w:after="0" w:line="360" w:lineRule="auto"/>
        <w:jc w:val="center"/>
        <w:rPr>
          <w:rFonts w:ascii="Arial" w:hAnsi="Arial" w:cs="Arial"/>
        </w:rPr>
      </w:pPr>
      <w:r w:rsidRPr="005B6CA1">
        <w:rPr>
          <w:rFonts w:ascii="Arial" w:hAnsi="Arial" w:cs="Arial"/>
          <w:noProof/>
          <w:lang w:eastAsia="es-MX"/>
        </w:rPr>
        <w:drawing>
          <wp:inline distT="0" distB="0" distL="0" distR="0" wp14:anchorId="7009A7D8" wp14:editId="3D78F2F8">
            <wp:extent cx="4572000" cy="2736000"/>
            <wp:effectExtent l="0" t="0" r="0" b="7620"/>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2D8017B1" w14:textId="5A7D316F" w:rsidR="00461D21" w:rsidRPr="007E5F5E" w:rsidRDefault="000C49BF" w:rsidP="00461D21">
      <w:pPr>
        <w:spacing w:after="0" w:line="360" w:lineRule="auto"/>
        <w:ind w:left="708" w:firstLine="708"/>
        <w:jc w:val="both"/>
        <w:rPr>
          <w:rFonts w:ascii="Arial" w:hAnsi="Arial" w:cs="Arial"/>
          <w:sz w:val="20"/>
        </w:rPr>
      </w:pPr>
      <w:r>
        <w:rPr>
          <w:rFonts w:ascii="Arial" w:hAnsi="Arial" w:cs="Arial"/>
          <w:b/>
          <w:sz w:val="18"/>
        </w:rPr>
        <w:t xml:space="preserve">            </w:t>
      </w:r>
      <w:r w:rsidR="00461D21" w:rsidRPr="007E5F5E">
        <w:rPr>
          <w:rFonts w:ascii="Arial" w:hAnsi="Arial" w:cs="Arial"/>
          <w:b/>
          <w:sz w:val="18"/>
        </w:rPr>
        <w:t>Fuente:</w:t>
      </w:r>
      <w:r w:rsidR="00461D21" w:rsidRPr="007E5F5E">
        <w:rPr>
          <w:rFonts w:ascii="Arial" w:hAnsi="Arial" w:cs="Arial"/>
          <w:sz w:val="18"/>
        </w:rPr>
        <w:t xml:space="preserve"> Elaboración propia con base en CONAPO (2018).</w:t>
      </w:r>
      <w:r w:rsidR="00461D21" w:rsidRPr="007E5F5E">
        <w:rPr>
          <w:rFonts w:ascii="Arial" w:hAnsi="Arial" w:cs="Arial"/>
          <w:sz w:val="20"/>
        </w:rPr>
        <w:t xml:space="preserve"> </w:t>
      </w:r>
    </w:p>
    <w:p w14:paraId="2619A6E9" w14:textId="77777777" w:rsidR="00461D21" w:rsidRDefault="00461D21" w:rsidP="00461D21">
      <w:pPr>
        <w:spacing w:line="360" w:lineRule="auto"/>
        <w:jc w:val="both"/>
        <w:rPr>
          <w:rFonts w:ascii="Arial" w:hAnsi="Arial" w:cs="Arial"/>
        </w:rPr>
      </w:pPr>
    </w:p>
    <w:p w14:paraId="412508AB" w14:textId="77777777" w:rsidR="00461D21" w:rsidRDefault="00461D21" w:rsidP="00461D21">
      <w:pPr>
        <w:spacing w:line="360" w:lineRule="auto"/>
        <w:jc w:val="both"/>
        <w:rPr>
          <w:rFonts w:ascii="Arial" w:hAnsi="Arial" w:cs="Arial"/>
        </w:rPr>
      </w:pPr>
      <w:r>
        <w:rPr>
          <w:rFonts w:ascii="Arial" w:hAnsi="Arial" w:cs="Arial"/>
        </w:rPr>
        <w:t>Respecto a los nacimientos, CONAPO proyecta, para 2019, una Tasa Bruta de Natalidad (TBN) de 16.83 nacimientos por cada 1,000 habitantes, lo que equivale a  2.17 millones de eventos vitales en México</w:t>
      </w:r>
      <w:r>
        <w:rPr>
          <w:rStyle w:val="Refdenotaalpie"/>
          <w:rFonts w:ascii="Arial" w:hAnsi="Arial" w:cs="Arial"/>
        </w:rPr>
        <w:footnoteReference w:id="7"/>
      </w:r>
      <w:r>
        <w:rPr>
          <w:rFonts w:ascii="Arial" w:hAnsi="Arial" w:cs="Arial"/>
        </w:rPr>
        <w:t xml:space="preserve">. No obstante, la serie histórica y las proyecciones de población señalan una tendencia a la baja de esta variable demográfica, de tal forma que para 2050 se proyectan alrededor de 1.67 millones de nacimientos; para el período 2019-2050 se </w:t>
      </w:r>
      <w:r>
        <w:rPr>
          <w:rFonts w:ascii="Arial" w:hAnsi="Arial" w:cs="Arial"/>
        </w:rPr>
        <w:lastRenderedPageBreak/>
        <w:t>estima una tasa anual de decrecimiento de dichos eventos de -0.89%</w:t>
      </w:r>
      <w:r>
        <w:rPr>
          <w:rStyle w:val="Refdenotaalpie"/>
          <w:rFonts w:ascii="Arial" w:hAnsi="Arial" w:cs="Arial"/>
        </w:rPr>
        <w:footnoteReference w:id="8"/>
      </w:r>
      <w:r>
        <w:rPr>
          <w:rFonts w:ascii="Arial" w:hAnsi="Arial" w:cs="Arial"/>
        </w:rPr>
        <w:t>. Lo anterior se debe a que las tasas específicas de fecundidad y, en consecuencia, las Tasa Global de Fecundidad (TGF), se encuentran desde varios años atrás en un continuo proceso de descenso</w:t>
      </w:r>
      <w:r>
        <w:rPr>
          <w:rStyle w:val="Refdenotaalpie"/>
          <w:rFonts w:ascii="Arial" w:hAnsi="Arial" w:cs="Arial"/>
        </w:rPr>
        <w:footnoteReference w:id="9"/>
      </w:r>
      <w:r>
        <w:rPr>
          <w:rFonts w:ascii="Arial" w:hAnsi="Arial" w:cs="Arial"/>
        </w:rPr>
        <w:t>. Al respecto, CONAPO proyecta que para 2019 será de 2.08 hijos (apenas por debajo del nivel de reemplazo, 2.1); será un poco antes de la mitad de los años 20s cuando el indicador tenga niveles por debajo de los hijos, y de continuar la tendencia, en 2050 las mujeres tendrán alrededor 1.72 hijos al final de su vida reproductiva</w:t>
      </w:r>
      <w:r>
        <w:rPr>
          <w:rStyle w:val="Refdenotaalpie"/>
          <w:rFonts w:ascii="Arial" w:hAnsi="Arial" w:cs="Arial"/>
        </w:rPr>
        <w:footnoteReference w:id="10"/>
      </w:r>
      <w:r>
        <w:rPr>
          <w:rFonts w:ascii="Arial" w:hAnsi="Arial" w:cs="Arial"/>
        </w:rPr>
        <w:t xml:space="preserve"> (Gráfica 2). </w:t>
      </w:r>
    </w:p>
    <w:p w14:paraId="44CA61A9" w14:textId="77777777" w:rsidR="00461D21" w:rsidRDefault="00461D21" w:rsidP="00461D21">
      <w:pPr>
        <w:spacing w:line="360" w:lineRule="auto"/>
        <w:jc w:val="center"/>
        <w:rPr>
          <w:rFonts w:ascii="Arial" w:hAnsi="Arial" w:cs="Arial"/>
          <w:b/>
        </w:rPr>
      </w:pPr>
    </w:p>
    <w:p w14:paraId="23116C8F" w14:textId="77777777" w:rsidR="00461D21" w:rsidRPr="007E5F5E" w:rsidRDefault="00461D21" w:rsidP="00461D21">
      <w:pPr>
        <w:spacing w:after="0" w:line="360" w:lineRule="auto"/>
        <w:jc w:val="center"/>
        <w:rPr>
          <w:rFonts w:ascii="Arial" w:hAnsi="Arial" w:cs="Arial"/>
          <w:b/>
        </w:rPr>
      </w:pPr>
      <w:r w:rsidRPr="007E5F5E">
        <w:rPr>
          <w:rFonts w:ascii="Arial" w:hAnsi="Arial" w:cs="Arial"/>
          <w:b/>
        </w:rPr>
        <w:t>Gráfica 2. Nacimientos proyectados y Tasa Global de Fecundidad para México, 2000-20150.</w:t>
      </w:r>
    </w:p>
    <w:p w14:paraId="6E7E6D75" w14:textId="77777777" w:rsidR="00461D21" w:rsidRDefault="00461D21" w:rsidP="00461D21">
      <w:pPr>
        <w:spacing w:after="0" w:line="360" w:lineRule="auto"/>
        <w:jc w:val="center"/>
        <w:rPr>
          <w:rFonts w:ascii="Arial" w:hAnsi="Arial" w:cs="Arial"/>
        </w:rPr>
      </w:pPr>
      <w:r>
        <w:rPr>
          <w:noProof/>
          <w:lang w:eastAsia="es-MX"/>
        </w:rPr>
        <w:drawing>
          <wp:inline distT="0" distB="0" distL="0" distR="0" wp14:anchorId="640DE457" wp14:editId="03FDCC0E">
            <wp:extent cx="5612130" cy="3044825"/>
            <wp:effectExtent l="0" t="0" r="7620" b="3175"/>
            <wp:docPr id="19" name="Gráfico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033A1499" w14:textId="309798FA" w:rsidR="00461D21" w:rsidRDefault="000C49BF" w:rsidP="00461D21">
      <w:pPr>
        <w:spacing w:after="0" w:line="360" w:lineRule="auto"/>
        <w:ind w:firstLine="708"/>
        <w:jc w:val="both"/>
        <w:rPr>
          <w:rFonts w:ascii="Arial" w:hAnsi="Arial" w:cs="Arial"/>
        </w:rPr>
      </w:pPr>
      <w:r>
        <w:rPr>
          <w:rFonts w:ascii="Arial" w:hAnsi="Arial" w:cs="Arial"/>
          <w:b/>
          <w:sz w:val="18"/>
        </w:rPr>
        <w:t xml:space="preserve">                         </w:t>
      </w:r>
      <w:r w:rsidR="00461D21" w:rsidRPr="007E5F5E">
        <w:rPr>
          <w:rFonts w:ascii="Arial" w:hAnsi="Arial" w:cs="Arial"/>
          <w:b/>
          <w:sz w:val="18"/>
        </w:rPr>
        <w:t>Fuente:</w:t>
      </w:r>
      <w:r w:rsidR="00461D21" w:rsidRPr="007E5F5E">
        <w:rPr>
          <w:rFonts w:ascii="Arial" w:hAnsi="Arial" w:cs="Arial"/>
          <w:sz w:val="18"/>
        </w:rPr>
        <w:t xml:space="preserve"> Elaboración propia con base en CONAPO (2018).</w:t>
      </w:r>
    </w:p>
    <w:p w14:paraId="6634E50E" w14:textId="77777777" w:rsidR="00461D21" w:rsidRDefault="00461D21" w:rsidP="00461D21">
      <w:pPr>
        <w:spacing w:line="360" w:lineRule="auto"/>
        <w:jc w:val="both"/>
        <w:rPr>
          <w:rFonts w:ascii="Arial" w:hAnsi="Arial" w:cs="Arial"/>
        </w:rPr>
      </w:pPr>
    </w:p>
    <w:p w14:paraId="16444220" w14:textId="77777777" w:rsidR="00461D21" w:rsidRDefault="00461D21" w:rsidP="00461D21">
      <w:pPr>
        <w:spacing w:line="360" w:lineRule="auto"/>
        <w:jc w:val="both"/>
        <w:rPr>
          <w:rFonts w:ascii="Arial" w:hAnsi="Arial" w:cs="Arial"/>
        </w:rPr>
      </w:pPr>
      <w:r w:rsidRPr="0009023C">
        <w:rPr>
          <w:rFonts w:ascii="Arial" w:hAnsi="Arial" w:cs="Arial"/>
        </w:rPr>
        <w:t xml:space="preserve">Aunado a lo anterior, es importante señalar que los regímenes demográficos no han sido uniformes a lo largo del país. En consecuencia, cada entidad y región tiene </w:t>
      </w:r>
      <w:r>
        <w:rPr>
          <w:rFonts w:ascii="Arial" w:hAnsi="Arial" w:cs="Arial"/>
        </w:rPr>
        <w:t xml:space="preserve">procesos demográficos </w:t>
      </w:r>
      <w:r w:rsidRPr="0009023C">
        <w:rPr>
          <w:rFonts w:ascii="Arial" w:hAnsi="Arial" w:cs="Arial"/>
        </w:rPr>
        <w:t>bastante diferentes entre ellas.</w:t>
      </w:r>
      <w:r>
        <w:rPr>
          <w:rFonts w:ascii="Arial" w:hAnsi="Arial" w:cs="Arial"/>
        </w:rPr>
        <w:t xml:space="preserve"> L</w:t>
      </w:r>
      <w:r w:rsidRPr="009C21F1">
        <w:rPr>
          <w:rFonts w:ascii="Arial" w:hAnsi="Arial" w:cs="Arial"/>
        </w:rPr>
        <w:t xml:space="preserve">a heterogeneidad espacial de la distribución y estructura de las poblaciones es consecuencia de una realidad histórica y estructural </w:t>
      </w:r>
      <w:r w:rsidRPr="009C21F1">
        <w:rPr>
          <w:rFonts w:ascii="Arial" w:hAnsi="Arial" w:cs="Arial"/>
        </w:rPr>
        <w:lastRenderedPageBreak/>
        <w:t>motivada por el grado de avance de la transición demográfica y de salud en el ámbito urbano y rural, así como de los procesos migratorios, la complejidad socioeconómica –en entornos rurales y urbanos– y ámbitos de competencia gub</w:t>
      </w:r>
      <w:r>
        <w:rPr>
          <w:rFonts w:ascii="Arial" w:hAnsi="Arial" w:cs="Arial"/>
        </w:rPr>
        <w:t>ernamental de distintos niveles</w:t>
      </w:r>
      <w:r>
        <w:rPr>
          <w:rStyle w:val="Refdenotaalpie"/>
          <w:rFonts w:ascii="Arial" w:hAnsi="Arial" w:cs="Arial"/>
        </w:rPr>
        <w:footnoteReference w:id="11"/>
      </w:r>
      <w:r w:rsidRPr="009C21F1">
        <w:rPr>
          <w:rFonts w:ascii="Arial" w:hAnsi="Arial" w:cs="Arial"/>
        </w:rPr>
        <w:t>.</w:t>
      </w:r>
      <w:r>
        <w:rPr>
          <w:rFonts w:ascii="Arial" w:hAnsi="Arial" w:cs="Arial"/>
        </w:rPr>
        <w:t xml:space="preserve"> Específicamente para la natalidad, en 2019, Chiapas, Coahuila y Guerrero tienen las TBN más altas del país (22.89, 19.22 y</w:t>
      </w:r>
      <w:r w:rsidRPr="00870060">
        <w:rPr>
          <w:rFonts w:ascii="Arial" w:hAnsi="Arial" w:cs="Arial"/>
        </w:rPr>
        <w:t xml:space="preserve"> 19.10</w:t>
      </w:r>
      <w:r>
        <w:rPr>
          <w:rFonts w:ascii="Arial" w:hAnsi="Arial" w:cs="Arial"/>
        </w:rPr>
        <w:t xml:space="preserve">, respectivamente); respecto a las TGF, nuevamente </w:t>
      </w:r>
      <w:r w:rsidRPr="00870060">
        <w:rPr>
          <w:rFonts w:ascii="Arial" w:hAnsi="Arial" w:cs="Arial"/>
        </w:rPr>
        <w:t>Chiapas</w:t>
      </w:r>
      <w:r>
        <w:rPr>
          <w:rFonts w:ascii="Arial" w:hAnsi="Arial" w:cs="Arial"/>
        </w:rPr>
        <w:t xml:space="preserve"> y Coahuila ocupan los primeros dos lugares (2.71 y 2.42 hijos, correspondientemente), Zacatecas se posiciona en el tercer lugar con 2.38 hijos</w:t>
      </w:r>
      <w:r>
        <w:rPr>
          <w:rStyle w:val="Refdenotaalpie"/>
          <w:rFonts w:ascii="Arial" w:hAnsi="Arial" w:cs="Arial"/>
        </w:rPr>
        <w:footnoteReference w:id="12"/>
      </w:r>
      <w:r>
        <w:rPr>
          <w:rFonts w:ascii="Arial" w:hAnsi="Arial" w:cs="Arial"/>
        </w:rPr>
        <w:t>. En cuanto al volumen de nacimientos, el Estado de México tiene 275 mil eventos, lo cual representa 12.7% de los nacimientos nacionales; Jalisco y Veracruz tienen 143 y 140 mil eventos vitales. De continuar las tendencias de fecundidad, para el año 2050 se proyecta que Chiapas tendrá la mayor TBN con 16.36 nacimientos, seguido por Coahuila (13.99) y Michoacán (13.48); respecto al volumen de nacimientos, se proyecta que el Estado de México, Chiapas y Jalisco tendrán el mayor número de eventos vitales (194, 127 y 101 mil nacimientos)</w:t>
      </w:r>
      <w:r>
        <w:rPr>
          <w:rStyle w:val="Refdenotaalpie"/>
          <w:rFonts w:ascii="Arial" w:hAnsi="Arial" w:cs="Arial"/>
        </w:rPr>
        <w:footnoteReference w:id="13"/>
      </w:r>
      <w:r>
        <w:rPr>
          <w:rFonts w:ascii="Arial" w:hAnsi="Arial" w:cs="Arial"/>
        </w:rPr>
        <w:t xml:space="preserve"> (Cuadro 1). </w:t>
      </w:r>
    </w:p>
    <w:p w14:paraId="6302993B" w14:textId="77777777" w:rsidR="00371786" w:rsidRDefault="00461D21" w:rsidP="00461D21">
      <w:pPr>
        <w:spacing w:line="360" w:lineRule="auto"/>
        <w:jc w:val="center"/>
        <w:rPr>
          <w:rFonts w:ascii="Arial" w:hAnsi="Arial" w:cs="Arial"/>
          <w:b/>
        </w:rPr>
      </w:pPr>
      <w:r w:rsidRPr="0041388C">
        <w:rPr>
          <w:rFonts w:ascii="Arial" w:hAnsi="Arial" w:cs="Arial"/>
          <w:b/>
        </w:rPr>
        <w:t>Cuadro</w:t>
      </w:r>
      <w:r>
        <w:rPr>
          <w:rFonts w:ascii="Arial" w:hAnsi="Arial" w:cs="Arial"/>
          <w:b/>
        </w:rPr>
        <w:t xml:space="preserve"> 1</w:t>
      </w:r>
      <w:r w:rsidRPr="0041388C">
        <w:rPr>
          <w:rFonts w:ascii="Arial" w:hAnsi="Arial" w:cs="Arial"/>
          <w:b/>
        </w:rPr>
        <w:t xml:space="preserve">. Indicadores de fecundidad y natalidad en México según entidad, </w:t>
      </w:r>
    </w:p>
    <w:p w14:paraId="53A98FA7" w14:textId="76E45C3B" w:rsidR="00461D21" w:rsidRPr="0041388C" w:rsidRDefault="00461D21" w:rsidP="00461D21">
      <w:pPr>
        <w:spacing w:line="360" w:lineRule="auto"/>
        <w:jc w:val="center"/>
        <w:rPr>
          <w:rFonts w:ascii="Arial" w:hAnsi="Arial" w:cs="Arial"/>
          <w:b/>
        </w:rPr>
      </w:pPr>
      <w:r w:rsidRPr="0041388C">
        <w:rPr>
          <w:rFonts w:ascii="Arial" w:hAnsi="Arial" w:cs="Arial"/>
          <w:b/>
        </w:rPr>
        <w:t>2019 y 2050.</w:t>
      </w:r>
    </w:p>
    <w:tbl>
      <w:tblPr>
        <w:tblW w:w="7598" w:type="dxa"/>
        <w:jc w:val="center"/>
        <w:tblCellMar>
          <w:left w:w="70" w:type="dxa"/>
          <w:right w:w="70" w:type="dxa"/>
        </w:tblCellMar>
        <w:tblLook w:val="04A0" w:firstRow="1" w:lastRow="0" w:firstColumn="1" w:lastColumn="0" w:noHBand="0" w:noVBand="1"/>
      </w:tblPr>
      <w:tblGrid>
        <w:gridCol w:w="2120"/>
        <w:gridCol w:w="857"/>
        <w:gridCol w:w="642"/>
        <w:gridCol w:w="1484"/>
        <w:gridCol w:w="540"/>
        <w:gridCol w:w="642"/>
        <w:gridCol w:w="1330"/>
      </w:tblGrid>
      <w:tr w:rsidR="00461D21" w:rsidRPr="007E5F5E" w14:paraId="08C6DCFF" w14:textId="77777777" w:rsidTr="00371786">
        <w:trPr>
          <w:trHeight w:val="300"/>
          <w:tblHeader/>
          <w:jc w:val="center"/>
        </w:trPr>
        <w:tc>
          <w:tcPr>
            <w:tcW w:w="2120" w:type="dxa"/>
            <w:vMerge w:val="restart"/>
            <w:tcBorders>
              <w:top w:val="single" w:sz="4" w:space="0" w:color="auto"/>
              <w:left w:val="single" w:sz="4" w:space="0" w:color="auto"/>
              <w:bottom w:val="single" w:sz="4" w:space="0" w:color="000000"/>
              <w:right w:val="single" w:sz="4" w:space="0" w:color="auto"/>
            </w:tcBorders>
            <w:shd w:val="clear" w:color="DDEBF7" w:fill="DDEBF7"/>
            <w:noWrap/>
            <w:vAlign w:val="center"/>
            <w:hideMark/>
          </w:tcPr>
          <w:p w14:paraId="2AF8E531" w14:textId="77777777" w:rsidR="00461D21" w:rsidRPr="007E5F5E" w:rsidRDefault="00461D21" w:rsidP="000F6F1D">
            <w:pPr>
              <w:spacing w:after="0" w:line="240" w:lineRule="auto"/>
              <w:jc w:val="center"/>
              <w:rPr>
                <w:rFonts w:ascii="Arial" w:eastAsia="Times New Roman" w:hAnsi="Arial" w:cs="Arial"/>
                <w:b/>
                <w:bCs/>
                <w:color w:val="000000"/>
                <w:sz w:val="20"/>
                <w:szCs w:val="20"/>
                <w:lang w:eastAsia="es-MX"/>
              </w:rPr>
            </w:pPr>
            <w:r w:rsidRPr="007E5F5E">
              <w:rPr>
                <w:rFonts w:ascii="Arial" w:eastAsia="Times New Roman" w:hAnsi="Arial" w:cs="Arial"/>
                <w:b/>
                <w:bCs/>
                <w:color w:val="000000"/>
                <w:sz w:val="20"/>
                <w:szCs w:val="20"/>
                <w:lang w:eastAsia="es-MX"/>
              </w:rPr>
              <w:t>Entidad</w:t>
            </w:r>
          </w:p>
        </w:tc>
        <w:tc>
          <w:tcPr>
            <w:tcW w:w="2983" w:type="dxa"/>
            <w:gridSpan w:val="3"/>
            <w:tcBorders>
              <w:top w:val="single" w:sz="4" w:space="0" w:color="auto"/>
              <w:left w:val="nil"/>
              <w:bottom w:val="nil"/>
              <w:right w:val="single" w:sz="4" w:space="0" w:color="000000"/>
            </w:tcBorders>
            <w:shd w:val="clear" w:color="DDEBF7" w:fill="DDEBF7"/>
            <w:noWrap/>
            <w:vAlign w:val="bottom"/>
            <w:hideMark/>
          </w:tcPr>
          <w:p w14:paraId="297D5561" w14:textId="77777777" w:rsidR="00461D21" w:rsidRPr="007E5F5E" w:rsidRDefault="00461D21" w:rsidP="000F6F1D">
            <w:pPr>
              <w:spacing w:after="0" w:line="240" w:lineRule="auto"/>
              <w:jc w:val="center"/>
              <w:rPr>
                <w:rFonts w:ascii="Arial" w:eastAsia="Times New Roman" w:hAnsi="Arial" w:cs="Arial"/>
                <w:b/>
                <w:bCs/>
                <w:color w:val="000000"/>
                <w:sz w:val="20"/>
                <w:szCs w:val="20"/>
                <w:lang w:eastAsia="es-MX"/>
              </w:rPr>
            </w:pPr>
            <w:r w:rsidRPr="007E5F5E">
              <w:rPr>
                <w:rFonts w:ascii="Arial" w:eastAsia="Times New Roman" w:hAnsi="Arial" w:cs="Arial"/>
                <w:b/>
                <w:bCs/>
                <w:color w:val="000000"/>
                <w:sz w:val="20"/>
                <w:szCs w:val="20"/>
                <w:lang w:eastAsia="es-MX"/>
              </w:rPr>
              <w:t>2019</w:t>
            </w:r>
          </w:p>
        </w:tc>
        <w:tc>
          <w:tcPr>
            <w:tcW w:w="2495" w:type="dxa"/>
            <w:gridSpan w:val="3"/>
            <w:tcBorders>
              <w:top w:val="single" w:sz="4" w:space="0" w:color="auto"/>
              <w:left w:val="nil"/>
              <w:bottom w:val="nil"/>
              <w:right w:val="single" w:sz="4" w:space="0" w:color="auto"/>
            </w:tcBorders>
            <w:shd w:val="clear" w:color="DDEBF7" w:fill="DDEBF7"/>
            <w:noWrap/>
            <w:vAlign w:val="bottom"/>
            <w:hideMark/>
          </w:tcPr>
          <w:p w14:paraId="48413624" w14:textId="77777777" w:rsidR="00461D21" w:rsidRPr="007E5F5E" w:rsidRDefault="00461D21" w:rsidP="000F6F1D">
            <w:pPr>
              <w:spacing w:after="0" w:line="240" w:lineRule="auto"/>
              <w:jc w:val="center"/>
              <w:rPr>
                <w:rFonts w:ascii="Arial" w:eastAsia="Times New Roman" w:hAnsi="Arial" w:cs="Arial"/>
                <w:b/>
                <w:bCs/>
                <w:color w:val="000000"/>
                <w:sz w:val="20"/>
                <w:szCs w:val="20"/>
                <w:lang w:eastAsia="es-MX"/>
              </w:rPr>
            </w:pPr>
            <w:r w:rsidRPr="007E5F5E">
              <w:rPr>
                <w:rFonts w:ascii="Arial" w:eastAsia="Times New Roman" w:hAnsi="Arial" w:cs="Arial"/>
                <w:b/>
                <w:bCs/>
                <w:color w:val="000000"/>
                <w:sz w:val="20"/>
                <w:szCs w:val="20"/>
                <w:lang w:eastAsia="es-MX"/>
              </w:rPr>
              <w:t>2050</w:t>
            </w:r>
          </w:p>
        </w:tc>
      </w:tr>
      <w:tr w:rsidR="00461D21" w:rsidRPr="007E5F5E" w14:paraId="06D84BE9" w14:textId="77777777" w:rsidTr="00371786">
        <w:trPr>
          <w:trHeight w:val="300"/>
          <w:tblHeader/>
          <w:jc w:val="center"/>
        </w:trPr>
        <w:tc>
          <w:tcPr>
            <w:tcW w:w="2120" w:type="dxa"/>
            <w:vMerge/>
            <w:tcBorders>
              <w:top w:val="single" w:sz="4" w:space="0" w:color="auto"/>
              <w:left w:val="single" w:sz="4" w:space="0" w:color="auto"/>
              <w:bottom w:val="single" w:sz="4" w:space="0" w:color="000000"/>
              <w:right w:val="single" w:sz="4" w:space="0" w:color="auto"/>
            </w:tcBorders>
            <w:vAlign w:val="center"/>
            <w:hideMark/>
          </w:tcPr>
          <w:p w14:paraId="5018D4EA" w14:textId="77777777" w:rsidR="00461D21" w:rsidRPr="007E5F5E" w:rsidRDefault="00461D21" w:rsidP="000F6F1D">
            <w:pPr>
              <w:spacing w:after="0" w:line="240" w:lineRule="auto"/>
              <w:rPr>
                <w:rFonts w:ascii="Arial" w:eastAsia="Times New Roman" w:hAnsi="Arial" w:cs="Arial"/>
                <w:b/>
                <w:bCs/>
                <w:color w:val="000000"/>
                <w:sz w:val="20"/>
                <w:szCs w:val="20"/>
                <w:lang w:eastAsia="es-MX"/>
              </w:rPr>
            </w:pPr>
          </w:p>
        </w:tc>
        <w:tc>
          <w:tcPr>
            <w:tcW w:w="857" w:type="dxa"/>
            <w:tcBorders>
              <w:top w:val="single" w:sz="4" w:space="0" w:color="auto"/>
              <w:left w:val="nil"/>
              <w:bottom w:val="single" w:sz="4" w:space="0" w:color="auto"/>
              <w:right w:val="single" w:sz="4" w:space="0" w:color="auto"/>
            </w:tcBorders>
            <w:shd w:val="clear" w:color="DDEBF7" w:fill="DDEBF7"/>
            <w:noWrap/>
            <w:vAlign w:val="bottom"/>
            <w:hideMark/>
          </w:tcPr>
          <w:p w14:paraId="63ACEA46" w14:textId="77777777" w:rsidR="00461D21" w:rsidRPr="007E5F5E" w:rsidRDefault="00461D21" w:rsidP="000F6F1D">
            <w:pPr>
              <w:spacing w:after="0" w:line="240" w:lineRule="auto"/>
              <w:jc w:val="center"/>
              <w:rPr>
                <w:rFonts w:ascii="Arial" w:eastAsia="Times New Roman" w:hAnsi="Arial" w:cs="Arial"/>
                <w:b/>
                <w:bCs/>
                <w:color w:val="000000"/>
                <w:sz w:val="20"/>
                <w:szCs w:val="20"/>
                <w:lang w:eastAsia="es-MX"/>
              </w:rPr>
            </w:pPr>
            <w:r w:rsidRPr="007E5F5E">
              <w:rPr>
                <w:rFonts w:ascii="Arial" w:eastAsia="Times New Roman" w:hAnsi="Arial" w:cs="Arial"/>
                <w:b/>
                <w:bCs/>
                <w:color w:val="000000"/>
                <w:sz w:val="20"/>
                <w:szCs w:val="20"/>
                <w:lang w:eastAsia="es-MX"/>
              </w:rPr>
              <w:t>TGF</w:t>
            </w:r>
          </w:p>
        </w:tc>
        <w:tc>
          <w:tcPr>
            <w:tcW w:w="642" w:type="dxa"/>
            <w:tcBorders>
              <w:top w:val="single" w:sz="4" w:space="0" w:color="auto"/>
              <w:left w:val="nil"/>
              <w:bottom w:val="single" w:sz="4" w:space="0" w:color="auto"/>
              <w:right w:val="single" w:sz="4" w:space="0" w:color="auto"/>
            </w:tcBorders>
            <w:shd w:val="clear" w:color="DDEBF7" w:fill="DDEBF7"/>
            <w:noWrap/>
            <w:vAlign w:val="bottom"/>
            <w:hideMark/>
          </w:tcPr>
          <w:p w14:paraId="7BA47464" w14:textId="77777777" w:rsidR="00461D21" w:rsidRPr="007E5F5E" w:rsidRDefault="00461D21" w:rsidP="000F6F1D">
            <w:pPr>
              <w:spacing w:after="0" w:line="240" w:lineRule="auto"/>
              <w:jc w:val="center"/>
              <w:rPr>
                <w:rFonts w:ascii="Arial" w:eastAsia="Times New Roman" w:hAnsi="Arial" w:cs="Arial"/>
                <w:b/>
                <w:bCs/>
                <w:color w:val="000000"/>
                <w:sz w:val="20"/>
                <w:szCs w:val="20"/>
                <w:lang w:eastAsia="es-MX"/>
              </w:rPr>
            </w:pPr>
            <w:r w:rsidRPr="007E5F5E">
              <w:rPr>
                <w:rFonts w:ascii="Arial" w:eastAsia="Times New Roman" w:hAnsi="Arial" w:cs="Arial"/>
                <w:b/>
                <w:bCs/>
                <w:color w:val="000000"/>
                <w:sz w:val="20"/>
                <w:szCs w:val="20"/>
                <w:lang w:eastAsia="es-MX"/>
              </w:rPr>
              <w:t>TBN</w:t>
            </w:r>
          </w:p>
        </w:tc>
        <w:tc>
          <w:tcPr>
            <w:tcW w:w="1484" w:type="dxa"/>
            <w:tcBorders>
              <w:top w:val="single" w:sz="4" w:space="0" w:color="auto"/>
              <w:left w:val="nil"/>
              <w:bottom w:val="single" w:sz="4" w:space="0" w:color="auto"/>
              <w:right w:val="single" w:sz="4" w:space="0" w:color="auto"/>
            </w:tcBorders>
            <w:shd w:val="clear" w:color="DDEBF7" w:fill="DDEBF7"/>
            <w:noWrap/>
            <w:vAlign w:val="bottom"/>
            <w:hideMark/>
          </w:tcPr>
          <w:p w14:paraId="6F120EEB" w14:textId="77777777" w:rsidR="00461D21" w:rsidRPr="007E5F5E" w:rsidRDefault="00461D21" w:rsidP="000F6F1D">
            <w:pPr>
              <w:spacing w:after="0" w:line="240" w:lineRule="auto"/>
              <w:jc w:val="center"/>
              <w:rPr>
                <w:rFonts w:ascii="Arial" w:eastAsia="Times New Roman" w:hAnsi="Arial" w:cs="Arial"/>
                <w:b/>
                <w:bCs/>
                <w:color w:val="000000"/>
                <w:sz w:val="20"/>
                <w:szCs w:val="20"/>
                <w:lang w:eastAsia="es-MX"/>
              </w:rPr>
            </w:pPr>
            <w:r w:rsidRPr="007E5F5E">
              <w:rPr>
                <w:rFonts w:ascii="Arial" w:eastAsia="Times New Roman" w:hAnsi="Arial" w:cs="Arial"/>
                <w:b/>
                <w:bCs/>
                <w:color w:val="000000"/>
                <w:sz w:val="20"/>
                <w:szCs w:val="20"/>
                <w:lang w:eastAsia="es-MX"/>
              </w:rPr>
              <w:t>Nacimientos</w:t>
            </w:r>
          </w:p>
        </w:tc>
        <w:tc>
          <w:tcPr>
            <w:tcW w:w="523" w:type="dxa"/>
            <w:tcBorders>
              <w:top w:val="single" w:sz="4" w:space="0" w:color="auto"/>
              <w:left w:val="nil"/>
              <w:bottom w:val="single" w:sz="4" w:space="0" w:color="auto"/>
              <w:right w:val="single" w:sz="4" w:space="0" w:color="auto"/>
            </w:tcBorders>
            <w:shd w:val="clear" w:color="DDEBF7" w:fill="DDEBF7"/>
            <w:noWrap/>
            <w:vAlign w:val="bottom"/>
            <w:hideMark/>
          </w:tcPr>
          <w:p w14:paraId="22D35179" w14:textId="77777777" w:rsidR="00461D21" w:rsidRPr="007E5F5E" w:rsidRDefault="00461D21" w:rsidP="000F6F1D">
            <w:pPr>
              <w:spacing w:after="0" w:line="240" w:lineRule="auto"/>
              <w:jc w:val="center"/>
              <w:rPr>
                <w:rFonts w:ascii="Arial" w:eastAsia="Times New Roman" w:hAnsi="Arial" w:cs="Arial"/>
                <w:b/>
                <w:bCs/>
                <w:color w:val="000000"/>
                <w:sz w:val="20"/>
                <w:szCs w:val="20"/>
                <w:lang w:eastAsia="es-MX"/>
              </w:rPr>
            </w:pPr>
            <w:r w:rsidRPr="007E5F5E">
              <w:rPr>
                <w:rFonts w:ascii="Arial" w:eastAsia="Times New Roman" w:hAnsi="Arial" w:cs="Arial"/>
                <w:b/>
                <w:bCs/>
                <w:color w:val="000000"/>
                <w:sz w:val="20"/>
                <w:szCs w:val="20"/>
                <w:lang w:eastAsia="es-MX"/>
              </w:rPr>
              <w:t>TGF</w:t>
            </w:r>
          </w:p>
        </w:tc>
        <w:tc>
          <w:tcPr>
            <w:tcW w:w="642" w:type="dxa"/>
            <w:tcBorders>
              <w:top w:val="single" w:sz="4" w:space="0" w:color="auto"/>
              <w:left w:val="nil"/>
              <w:bottom w:val="single" w:sz="4" w:space="0" w:color="auto"/>
              <w:right w:val="single" w:sz="4" w:space="0" w:color="auto"/>
            </w:tcBorders>
            <w:shd w:val="clear" w:color="DDEBF7" w:fill="DDEBF7"/>
            <w:noWrap/>
            <w:vAlign w:val="bottom"/>
            <w:hideMark/>
          </w:tcPr>
          <w:p w14:paraId="1FE94B6D" w14:textId="77777777" w:rsidR="00461D21" w:rsidRPr="007E5F5E" w:rsidRDefault="00461D21" w:rsidP="000F6F1D">
            <w:pPr>
              <w:spacing w:after="0" w:line="240" w:lineRule="auto"/>
              <w:jc w:val="center"/>
              <w:rPr>
                <w:rFonts w:ascii="Arial" w:eastAsia="Times New Roman" w:hAnsi="Arial" w:cs="Arial"/>
                <w:b/>
                <w:bCs/>
                <w:color w:val="000000"/>
                <w:sz w:val="20"/>
                <w:szCs w:val="20"/>
                <w:lang w:eastAsia="es-MX"/>
              </w:rPr>
            </w:pPr>
            <w:r w:rsidRPr="007E5F5E">
              <w:rPr>
                <w:rFonts w:ascii="Arial" w:eastAsia="Times New Roman" w:hAnsi="Arial" w:cs="Arial"/>
                <w:b/>
                <w:bCs/>
                <w:color w:val="000000"/>
                <w:sz w:val="20"/>
                <w:szCs w:val="20"/>
                <w:lang w:eastAsia="es-MX"/>
              </w:rPr>
              <w:t>TBN</w:t>
            </w:r>
          </w:p>
        </w:tc>
        <w:tc>
          <w:tcPr>
            <w:tcW w:w="1330" w:type="dxa"/>
            <w:tcBorders>
              <w:top w:val="single" w:sz="4" w:space="0" w:color="auto"/>
              <w:left w:val="nil"/>
              <w:bottom w:val="single" w:sz="4" w:space="0" w:color="auto"/>
              <w:right w:val="single" w:sz="4" w:space="0" w:color="auto"/>
            </w:tcBorders>
            <w:shd w:val="clear" w:color="DDEBF7" w:fill="DDEBF7"/>
            <w:noWrap/>
            <w:vAlign w:val="bottom"/>
            <w:hideMark/>
          </w:tcPr>
          <w:p w14:paraId="53FF5E7A" w14:textId="77777777" w:rsidR="00461D21" w:rsidRPr="007E5F5E" w:rsidRDefault="00461D21" w:rsidP="000F6F1D">
            <w:pPr>
              <w:spacing w:after="0" w:line="240" w:lineRule="auto"/>
              <w:jc w:val="center"/>
              <w:rPr>
                <w:rFonts w:ascii="Arial" w:eastAsia="Times New Roman" w:hAnsi="Arial" w:cs="Arial"/>
                <w:b/>
                <w:bCs/>
                <w:color w:val="000000"/>
                <w:sz w:val="20"/>
                <w:szCs w:val="20"/>
                <w:lang w:eastAsia="es-MX"/>
              </w:rPr>
            </w:pPr>
            <w:r w:rsidRPr="007E5F5E">
              <w:rPr>
                <w:rFonts w:ascii="Arial" w:eastAsia="Times New Roman" w:hAnsi="Arial" w:cs="Arial"/>
                <w:b/>
                <w:bCs/>
                <w:color w:val="000000"/>
                <w:sz w:val="20"/>
                <w:szCs w:val="20"/>
                <w:lang w:eastAsia="es-MX"/>
              </w:rPr>
              <w:t>Nacimientos</w:t>
            </w:r>
          </w:p>
        </w:tc>
      </w:tr>
      <w:tr w:rsidR="00461D21" w:rsidRPr="007E5F5E" w14:paraId="79EB5A31" w14:textId="77777777" w:rsidTr="00371786">
        <w:trPr>
          <w:trHeight w:val="227"/>
          <w:jc w:val="center"/>
        </w:trPr>
        <w:tc>
          <w:tcPr>
            <w:tcW w:w="2120" w:type="dxa"/>
            <w:tcBorders>
              <w:top w:val="nil"/>
              <w:left w:val="single" w:sz="4" w:space="0" w:color="auto"/>
              <w:bottom w:val="nil"/>
              <w:right w:val="single" w:sz="4" w:space="0" w:color="auto"/>
            </w:tcBorders>
            <w:shd w:val="clear" w:color="auto" w:fill="auto"/>
            <w:noWrap/>
            <w:vAlign w:val="bottom"/>
            <w:hideMark/>
          </w:tcPr>
          <w:p w14:paraId="32E4D81A"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Aguascalientes </w:t>
            </w:r>
          </w:p>
        </w:tc>
        <w:tc>
          <w:tcPr>
            <w:tcW w:w="857" w:type="dxa"/>
            <w:tcBorders>
              <w:top w:val="nil"/>
              <w:left w:val="nil"/>
              <w:bottom w:val="nil"/>
              <w:right w:val="nil"/>
            </w:tcBorders>
            <w:shd w:val="clear" w:color="auto" w:fill="auto"/>
            <w:noWrap/>
            <w:vAlign w:val="bottom"/>
            <w:hideMark/>
          </w:tcPr>
          <w:p w14:paraId="1043289A"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2.06 </w:t>
            </w:r>
          </w:p>
        </w:tc>
        <w:tc>
          <w:tcPr>
            <w:tcW w:w="642" w:type="dxa"/>
            <w:tcBorders>
              <w:top w:val="nil"/>
              <w:left w:val="nil"/>
              <w:bottom w:val="nil"/>
              <w:right w:val="nil"/>
            </w:tcBorders>
            <w:shd w:val="clear" w:color="auto" w:fill="auto"/>
            <w:noWrap/>
            <w:vAlign w:val="bottom"/>
            <w:hideMark/>
          </w:tcPr>
          <w:p w14:paraId="7B795689"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17.51 </w:t>
            </w:r>
          </w:p>
        </w:tc>
        <w:tc>
          <w:tcPr>
            <w:tcW w:w="1484" w:type="dxa"/>
            <w:tcBorders>
              <w:top w:val="nil"/>
              <w:left w:val="nil"/>
              <w:bottom w:val="nil"/>
              <w:right w:val="single" w:sz="4" w:space="0" w:color="auto"/>
            </w:tcBorders>
            <w:shd w:val="clear" w:color="auto" w:fill="auto"/>
            <w:noWrap/>
            <w:vAlign w:val="bottom"/>
            <w:hideMark/>
          </w:tcPr>
          <w:p w14:paraId="78F9C79E"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24,782.00 </w:t>
            </w:r>
          </w:p>
        </w:tc>
        <w:tc>
          <w:tcPr>
            <w:tcW w:w="523" w:type="dxa"/>
            <w:tcBorders>
              <w:top w:val="nil"/>
              <w:left w:val="nil"/>
              <w:bottom w:val="nil"/>
              <w:right w:val="nil"/>
            </w:tcBorders>
            <w:shd w:val="clear" w:color="auto" w:fill="auto"/>
            <w:noWrap/>
            <w:vAlign w:val="bottom"/>
            <w:hideMark/>
          </w:tcPr>
          <w:p w14:paraId="216BF05C"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1.58 </w:t>
            </w:r>
          </w:p>
        </w:tc>
        <w:tc>
          <w:tcPr>
            <w:tcW w:w="642" w:type="dxa"/>
            <w:tcBorders>
              <w:top w:val="nil"/>
              <w:left w:val="nil"/>
              <w:bottom w:val="nil"/>
              <w:right w:val="nil"/>
            </w:tcBorders>
            <w:shd w:val="clear" w:color="auto" w:fill="auto"/>
            <w:noWrap/>
            <w:vAlign w:val="bottom"/>
            <w:hideMark/>
          </w:tcPr>
          <w:p w14:paraId="44F0CBEB"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10.48 </w:t>
            </w:r>
          </w:p>
        </w:tc>
        <w:tc>
          <w:tcPr>
            <w:tcW w:w="1330" w:type="dxa"/>
            <w:tcBorders>
              <w:top w:val="nil"/>
              <w:left w:val="nil"/>
              <w:bottom w:val="nil"/>
              <w:right w:val="single" w:sz="4" w:space="0" w:color="auto"/>
            </w:tcBorders>
            <w:shd w:val="clear" w:color="auto" w:fill="auto"/>
            <w:noWrap/>
            <w:vAlign w:val="bottom"/>
            <w:hideMark/>
          </w:tcPr>
          <w:p w14:paraId="64CBCFAF"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18,838.00 </w:t>
            </w:r>
          </w:p>
        </w:tc>
      </w:tr>
      <w:tr w:rsidR="00461D21" w:rsidRPr="007E5F5E" w14:paraId="76D191FC" w14:textId="77777777" w:rsidTr="00371786">
        <w:trPr>
          <w:trHeight w:val="300"/>
          <w:jc w:val="center"/>
        </w:trPr>
        <w:tc>
          <w:tcPr>
            <w:tcW w:w="2120" w:type="dxa"/>
            <w:tcBorders>
              <w:top w:val="nil"/>
              <w:left w:val="single" w:sz="4" w:space="0" w:color="auto"/>
              <w:bottom w:val="nil"/>
              <w:right w:val="single" w:sz="4" w:space="0" w:color="auto"/>
            </w:tcBorders>
            <w:shd w:val="clear" w:color="auto" w:fill="auto"/>
            <w:noWrap/>
            <w:vAlign w:val="bottom"/>
            <w:hideMark/>
          </w:tcPr>
          <w:p w14:paraId="54F00009"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Baja California </w:t>
            </w:r>
          </w:p>
        </w:tc>
        <w:tc>
          <w:tcPr>
            <w:tcW w:w="857" w:type="dxa"/>
            <w:tcBorders>
              <w:top w:val="nil"/>
              <w:left w:val="nil"/>
              <w:bottom w:val="nil"/>
              <w:right w:val="nil"/>
            </w:tcBorders>
            <w:shd w:val="clear" w:color="auto" w:fill="auto"/>
            <w:noWrap/>
            <w:vAlign w:val="bottom"/>
            <w:hideMark/>
          </w:tcPr>
          <w:p w14:paraId="163E4B63"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1.94 </w:t>
            </w:r>
          </w:p>
        </w:tc>
        <w:tc>
          <w:tcPr>
            <w:tcW w:w="642" w:type="dxa"/>
            <w:tcBorders>
              <w:top w:val="nil"/>
              <w:left w:val="nil"/>
              <w:bottom w:val="nil"/>
              <w:right w:val="nil"/>
            </w:tcBorders>
            <w:shd w:val="clear" w:color="auto" w:fill="auto"/>
            <w:noWrap/>
            <w:vAlign w:val="bottom"/>
            <w:hideMark/>
          </w:tcPr>
          <w:p w14:paraId="6EDEE0F1"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16.29 </w:t>
            </w:r>
          </w:p>
        </w:tc>
        <w:tc>
          <w:tcPr>
            <w:tcW w:w="1484" w:type="dxa"/>
            <w:tcBorders>
              <w:top w:val="nil"/>
              <w:left w:val="nil"/>
              <w:bottom w:val="nil"/>
              <w:right w:val="single" w:sz="4" w:space="0" w:color="auto"/>
            </w:tcBorders>
            <w:shd w:val="clear" w:color="auto" w:fill="auto"/>
            <w:noWrap/>
            <w:vAlign w:val="bottom"/>
            <w:hideMark/>
          </w:tcPr>
          <w:p w14:paraId="77685E6E"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58,308.00 </w:t>
            </w:r>
          </w:p>
        </w:tc>
        <w:tc>
          <w:tcPr>
            <w:tcW w:w="523" w:type="dxa"/>
            <w:tcBorders>
              <w:top w:val="nil"/>
              <w:left w:val="nil"/>
              <w:bottom w:val="nil"/>
              <w:right w:val="nil"/>
            </w:tcBorders>
            <w:shd w:val="clear" w:color="auto" w:fill="auto"/>
            <w:noWrap/>
            <w:vAlign w:val="bottom"/>
            <w:hideMark/>
          </w:tcPr>
          <w:p w14:paraId="79FB9CEA"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1.53 </w:t>
            </w:r>
          </w:p>
        </w:tc>
        <w:tc>
          <w:tcPr>
            <w:tcW w:w="642" w:type="dxa"/>
            <w:tcBorders>
              <w:top w:val="nil"/>
              <w:left w:val="nil"/>
              <w:bottom w:val="nil"/>
              <w:right w:val="nil"/>
            </w:tcBorders>
            <w:shd w:val="clear" w:color="auto" w:fill="auto"/>
            <w:noWrap/>
            <w:vAlign w:val="bottom"/>
            <w:hideMark/>
          </w:tcPr>
          <w:p w14:paraId="44BFC00F"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10.02 </w:t>
            </w:r>
          </w:p>
        </w:tc>
        <w:tc>
          <w:tcPr>
            <w:tcW w:w="1330" w:type="dxa"/>
            <w:tcBorders>
              <w:top w:val="nil"/>
              <w:left w:val="nil"/>
              <w:bottom w:val="nil"/>
              <w:right w:val="single" w:sz="4" w:space="0" w:color="auto"/>
            </w:tcBorders>
            <w:shd w:val="clear" w:color="auto" w:fill="auto"/>
            <w:noWrap/>
            <w:vAlign w:val="bottom"/>
            <w:hideMark/>
          </w:tcPr>
          <w:p w14:paraId="0B37CD74"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47,847.00 </w:t>
            </w:r>
          </w:p>
        </w:tc>
      </w:tr>
      <w:tr w:rsidR="00461D21" w:rsidRPr="007E5F5E" w14:paraId="7281EAD8" w14:textId="77777777" w:rsidTr="00371786">
        <w:trPr>
          <w:trHeight w:val="300"/>
          <w:jc w:val="center"/>
        </w:trPr>
        <w:tc>
          <w:tcPr>
            <w:tcW w:w="2120" w:type="dxa"/>
            <w:tcBorders>
              <w:top w:val="nil"/>
              <w:left w:val="single" w:sz="4" w:space="0" w:color="auto"/>
              <w:bottom w:val="nil"/>
              <w:right w:val="single" w:sz="4" w:space="0" w:color="auto"/>
            </w:tcBorders>
            <w:shd w:val="clear" w:color="auto" w:fill="auto"/>
            <w:noWrap/>
            <w:vAlign w:val="bottom"/>
            <w:hideMark/>
          </w:tcPr>
          <w:p w14:paraId="60DA6F40"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Baja California Sur </w:t>
            </w:r>
          </w:p>
        </w:tc>
        <w:tc>
          <w:tcPr>
            <w:tcW w:w="857" w:type="dxa"/>
            <w:tcBorders>
              <w:top w:val="nil"/>
              <w:left w:val="nil"/>
              <w:bottom w:val="nil"/>
              <w:right w:val="nil"/>
            </w:tcBorders>
            <w:shd w:val="clear" w:color="auto" w:fill="auto"/>
            <w:noWrap/>
            <w:vAlign w:val="bottom"/>
            <w:hideMark/>
          </w:tcPr>
          <w:p w14:paraId="36EACA16"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2.16 </w:t>
            </w:r>
          </w:p>
        </w:tc>
        <w:tc>
          <w:tcPr>
            <w:tcW w:w="642" w:type="dxa"/>
            <w:tcBorders>
              <w:top w:val="nil"/>
              <w:left w:val="nil"/>
              <w:bottom w:val="nil"/>
              <w:right w:val="nil"/>
            </w:tcBorders>
            <w:shd w:val="clear" w:color="auto" w:fill="auto"/>
            <w:noWrap/>
            <w:vAlign w:val="bottom"/>
            <w:hideMark/>
          </w:tcPr>
          <w:p w14:paraId="68576DAE"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17.63 </w:t>
            </w:r>
          </w:p>
        </w:tc>
        <w:tc>
          <w:tcPr>
            <w:tcW w:w="1484" w:type="dxa"/>
            <w:tcBorders>
              <w:top w:val="nil"/>
              <w:left w:val="nil"/>
              <w:bottom w:val="nil"/>
              <w:right w:val="single" w:sz="4" w:space="0" w:color="auto"/>
            </w:tcBorders>
            <w:shd w:val="clear" w:color="auto" w:fill="auto"/>
            <w:noWrap/>
            <w:vAlign w:val="bottom"/>
            <w:hideMark/>
          </w:tcPr>
          <w:p w14:paraId="7D17952F"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13,897.00 </w:t>
            </w:r>
          </w:p>
        </w:tc>
        <w:tc>
          <w:tcPr>
            <w:tcW w:w="523" w:type="dxa"/>
            <w:tcBorders>
              <w:top w:val="nil"/>
              <w:left w:val="nil"/>
              <w:bottom w:val="nil"/>
              <w:right w:val="nil"/>
            </w:tcBorders>
            <w:shd w:val="clear" w:color="auto" w:fill="auto"/>
            <w:noWrap/>
            <w:vAlign w:val="bottom"/>
            <w:hideMark/>
          </w:tcPr>
          <w:p w14:paraId="0CC31846"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1.88 </w:t>
            </w:r>
          </w:p>
        </w:tc>
        <w:tc>
          <w:tcPr>
            <w:tcW w:w="642" w:type="dxa"/>
            <w:tcBorders>
              <w:top w:val="nil"/>
              <w:left w:val="nil"/>
              <w:bottom w:val="nil"/>
              <w:right w:val="nil"/>
            </w:tcBorders>
            <w:shd w:val="clear" w:color="auto" w:fill="auto"/>
            <w:noWrap/>
            <w:vAlign w:val="bottom"/>
            <w:hideMark/>
          </w:tcPr>
          <w:p w14:paraId="3386F3FF"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12.34 </w:t>
            </w:r>
          </w:p>
        </w:tc>
        <w:tc>
          <w:tcPr>
            <w:tcW w:w="1330" w:type="dxa"/>
            <w:tcBorders>
              <w:top w:val="nil"/>
              <w:left w:val="nil"/>
              <w:bottom w:val="nil"/>
              <w:right w:val="single" w:sz="4" w:space="0" w:color="auto"/>
            </w:tcBorders>
            <w:shd w:val="clear" w:color="auto" w:fill="auto"/>
            <w:noWrap/>
            <w:vAlign w:val="bottom"/>
            <w:hideMark/>
          </w:tcPr>
          <w:p w14:paraId="5B4B4AD0"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14,322.00 </w:t>
            </w:r>
          </w:p>
        </w:tc>
      </w:tr>
      <w:tr w:rsidR="00461D21" w:rsidRPr="007E5F5E" w14:paraId="21E2C1CF" w14:textId="77777777" w:rsidTr="00371786">
        <w:trPr>
          <w:trHeight w:val="300"/>
          <w:jc w:val="center"/>
        </w:trPr>
        <w:tc>
          <w:tcPr>
            <w:tcW w:w="2120" w:type="dxa"/>
            <w:tcBorders>
              <w:top w:val="nil"/>
              <w:left w:val="single" w:sz="4" w:space="0" w:color="auto"/>
              <w:bottom w:val="nil"/>
              <w:right w:val="single" w:sz="4" w:space="0" w:color="auto"/>
            </w:tcBorders>
            <w:shd w:val="clear" w:color="auto" w:fill="auto"/>
            <w:noWrap/>
            <w:vAlign w:val="bottom"/>
            <w:hideMark/>
          </w:tcPr>
          <w:p w14:paraId="7D1B6623"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Campeche </w:t>
            </w:r>
          </w:p>
        </w:tc>
        <w:tc>
          <w:tcPr>
            <w:tcW w:w="857" w:type="dxa"/>
            <w:tcBorders>
              <w:top w:val="nil"/>
              <w:left w:val="nil"/>
              <w:bottom w:val="nil"/>
              <w:right w:val="nil"/>
            </w:tcBorders>
            <w:shd w:val="clear" w:color="auto" w:fill="auto"/>
            <w:noWrap/>
            <w:vAlign w:val="bottom"/>
            <w:hideMark/>
          </w:tcPr>
          <w:p w14:paraId="1F2A4EB8"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2.12 </w:t>
            </w:r>
          </w:p>
        </w:tc>
        <w:tc>
          <w:tcPr>
            <w:tcW w:w="642" w:type="dxa"/>
            <w:tcBorders>
              <w:top w:val="nil"/>
              <w:left w:val="nil"/>
              <w:bottom w:val="nil"/>
              <w:right w:val="nil"/>
            </w:tcBorders>
            <w:shd w:val="clear" w:color="auto" w:fill="auto"/>
            <w:noWrap/>
            <w:vAlign w:val="bottom"/>
            <w:hideMark/>
          </w:tcPr>
          <w:p w14:paraId="351AA204"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18.13 </w:t>
            </w:r>
          </w:p>
        </w:tc>
        <w:tc>
          <w:tcPr>
            <w:tcW w:w="1484" w:type="dxa"/>
            <w:tcBorders>
              <w:top w:val="nil"/>
              <w:left w:val="nil"/>
              <w:bottom w:val="nil"/>
              <w:right w:val="single" w:sz="4" w:space="0" w:color="auto"/>
            </w:tcBorders>
            <w:shd w:val="clear" w:color="auto" w:fill="auto"/>
            <w:noWrap/>
            <w:vAlign w:val="bottom"/>
            <w:hideMark/>
          </w:tcPr>
          <w:p w14:paraId="59C63DA2"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17,839.00 </w:t>
            </w:r>
          </w:p>
        </w:tc>
        <w:tc>
          <w:tcPr>
            <w:tcW w:w="523" w:type="dxa"/>
            <w:tcBorders>
              <w:top w:val="nil"/>
              <w:left w:val="nil"/>
              <w:bottom w:val="nil"/>
              <w:right w:val="nil"/>
            </w:tcBorders>
            <w:shd w:val="clear" w:color="auto" w:fill="auto"/>
            <w:noWrap/>
            <w:vAlign w:val="bottom"/>
            <w:hideMark/>
          </w:tcPr>
          <w:p w14:paraId="253742F3"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1.82 </w:t>
            </w:r>
          </w:p>
        </w:tc>
        <w:tc>
          <w:tcPr>
            <w:tcW w:w="642" w:type="dxa"/>
            <w:tcBorders>
              <w:top w:val="nil"/>
              <w:left w:val="nil"/>
              <w:bottom w:val="nil"/>
              <w:right w:val="nil"/>
            </w:tcBorders>
            <w:shd w:val="clear" w:color="auto" w:fill="auto"/>
            <w:noWrap/>
            <w:vAlign w:val="bottom"/>
            <w:hideMark/>
          </w:tcPr>
          <w:p w14:paraId="5410289C"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12.23 </w:t>
            </w:r>
          </w:p>
        </w:tc>
        <w:tc>
          <w:tcPr>
            <w:tcW w:w="1330" w:type="dxa"/>
            <w:tcBorders>
              <w:top w:val="nil"/>
              <w:left w:val="nil"/>
              <w:bottom w:val="nil"/>
              <w:right w:val="single" w:sz="4" w:space="0" w:color="auto"/>
            </w:tcBorders>
            <w:shd w:val="clear" w:color="auto" w:fill="auto"/>
            <w:noWrap/>
            <w:vAlign w:val="bottom"/>
            <w:hideMark/>
          </w:tcPr>
          <w:p w14:paraId="0AF2DBB1"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17,087.00 </w:t>
            </w:r>
          </w:p>
        </w:tc>
      </w:tr>
      <w:tr w:rsidR="00461D21" w:rsidRPr="007E5F5E" w14:paraId="2A262D9F" w14:textId="77777777" w:rsidTr="00371786">
        <w:trPr>
          <w:trHeight w:val="300"/>
          <w:jc w:val="center"/>
        </w:trPr>
        <w:tc>
          <w:tcPr>
            <w:tcW w:w="2120" w:type="dxa"/>
            <w:tcBorders>
              <w:top w:val="nil"/>
              <w:left w:val="single" w:sz="4" w:space="0" w:color="auto"/>
              <w:bottom w:val="nil"/>
              <w:right w:val="single" w:sz="4" w:space="0" w:color="auto"/>
            </w:tcBorders>
            <w:shd w:val="clear" w:color="auto" w:fill="auto"/>
            <w:noWrap/>
            <w:vAlign w:val="bottom"/>
            <w:hideMark/>
          </w:tcPr>
          <w:p w14:paraId="1331F7FF"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Chiapas </w:t>
            </w:r>
          </w:p>
        </w:tc>
        <w:tc>
          <w:tcPr>
            <w:tcW w:w="857" w:type="dxa"/>
            <w:tcBorders>
              <w:top w:val="nil"/>
              <w:left w:val="nil"/>
              <w:bottom w:val="nil"/>
              <w:right w:val="nil"/>
            </w:tcBorders>
            <w:shd w:val="clear" w:color="auto" w:fill="auto"/>
            <w:noWrap/>
            <w:vAlign w:val="bottom"/>
            <w:hideMark/>
          </w:tcPr>
          <w:p w14:paraId="7F03A449"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2.71 </w:t>
            </w:r>
          </w:p>
        </w:tc>
        <w:tc>
          <w:tcPr>
            <w:tcW w:w="642" w:type="dxa"/>
            <w:tcBorders>
              <w:top w:val="nil"/>
              <w:left w:val="nil"/>
              <w:bottom w:val="nil"/>
              <w:right w:val="nil"/>
            </w:tcBorders>
            <w:shd w:val="clear" w:color="auto" w:fill="auto"/>
            <w:noWrap/>
            <w:vAlign w:val="bottom"/>
            <w:hideMark/>
          </w:tcPr>
          <w:p w14:paraId="49C27CA1"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22.89 </w:t>
            </w:r>
          </w:p>
        </w:tc>
        <w:tc>
          <w:tcPr>
            <w:tcW w:w="1484" w:type="dxa"/>
            <w:tcBorders>
              <w:top w:val="nil"/>
              <w:left w:val="nil"/>
              <w:bottom w:val="nil"/>
              <w:right w:val="single" w:sz="4" w:space="0" w:color="auto"/>
            </w:tcBorders>
            <w:shd w:val="clear" w:color="auto" w:fill="auto"/>
            <w:noWrap/>
            <w:vAlign w:val="bottom"/>
            <w:hideMark/>
          </w:tcPr>
          <w:p w14:paraId="45340CEC"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129,255.00 </w:t>
            </w:r>
          </w:p>
        </w:tc>
        <w:tc>
          <w:tcPr>
            <w:tcW w:w="523" w:type="dxa"/>
            <w:tcBorders>
              <w:top w:val="nil"/>
              <w:left w:val="nil"/>
              <w:bottom w:val="nil"/>
              <w:right w:val="nil"/>
            </w:tcBorders>
            <w:shd w:val="clear" w:color="auto" w:fill="auto"/>
            <w:noWrap/>
            <w:vAlign w:val="bottom"/>
            <w:hideMark/>
          </w:tcPr>
          <w:p w14:paraId="78E08ACE"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2.26 </w:t>
            </w:r>
          </w:p>
        </w:tc>
        <w:tc>
          <w:tcPr>
            <w:tcW w:w="642" w:type="dxa"/>
            <w:tcBorders>
              <w:top w:val="nil"/>
              <w:left w:val="nil"/>
              <w:bottom w:val="nil"/>
              <w:right w:val="nil"/>
            </w:tcBorders>
            <w:shd w:val="clear" w:color="auto" w:fill="auto"/>
            <w:noWrap/>
            <w:vAlign w:val="bottom"/>
            <w:hideMark/>
          </w:tcPr>
          <w:p w14:paraId="5939EF34"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16.36 </w:t>
            </w:r>
          </w:p>
        </w:tc>
        <w:tc>
          <w:tcPr>
            <w:tcW w:w="1330" w:type="dxa"/>
            <w:tcBorders>
              <w:top w:val="nil"/>
              <w:left w:val="nil"/>
              <w:bottom w:val="nil"/>
              <w:right w:val="single" w:sz="4" w:space="0" w:color="auto"/>
            </w:tcBorders>
            <w:shd w:val="clear" w:color="auto" w:fill="auto"/>
            <w:noWrap/>
            <w:vAlign w:val="bottom"/>
            <w:hideMark/>
          </w:tcPr>
          <w:p w14:paraId="1E9A8D29"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127,869.00 </w:t>
            </w:r>
          </w:p>
        </w:tc>
      </w:tr>
      <w:tr w:rsidR="00461D21" w:rsidRPr="007E5F5E" w14:paraId="7A7942F3" w14:textId="77777777" w:rsidTr="00371786">
        <w:trPr>
          <w:trHeight w:val="300"/>
          <w:jc w:val="center"/>
        </w:trPr>
        <w:tc>
          <w:tcPr>
            <w:tcW w:w="2120" w:type="dxa"/>
            <w:tcBorders>
              <w:top w:val="nil"/>
              <w:left w:val="single" w:sz="4" w:space="0" w:color="auto"/>
              <w:bottom w:val="nil"/>
              <w:right w:val="single" w:sz="4" w:space="0" w:color="auto"/>
            </w:tcBorders>
            <w:shd w:val="clear" w:color="auto" w:fill="auto"/>
            <w:noWrap/>
            <w:vAlign w:val="bottom"/>
            <w:hideMark/>
          </w:tcPr>
          <w:p w14:paraId="15B0EA6E"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Chihuahua </w:t>
            </w:r>
          </w:p>
        </w:tc>
        <w:tc>
          <w:tcPr>
            <w:tcW w:w="857" w:type="dxa"/>
            <w:tcBorders>
              <w:top w:val="nil"/>
              <w:left w:val="nil"/>
              <w:bottom w:val="nil"/>
              <w:right w:val="nil"/>
            </w:tcBorders>
            <w:shd w:val="clear" w:color="auto" w:fill="auto"/>
            <w:noWrap/>
            <w:vAlign w:val="bottom"/>
            <w:hideMark/>
          </w:tcPr>
          <w:p w14:paraId="3F1E443E"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2.07 </w:t>
            </w:r>
          </w:p>
        </w:tc>
        <w:tc>
          <w:tcPr>
            <w:tcW w:w="642" w:type="dxa"/>
            <w:tcBorders>
              <w:top w:val="nil"/>
              <w:left w:val="nil"/>
              <w:bottom w:val="nil"/>
              <w:right w:val="nil"/>
            </w:tcBorders>
            <w:shd w:val="clear" w:color="auto" w:fill="auto"/>
            <w:noWrap/>
            <w:vAlign w:val="bottom"/>
            <w:hideMark/>
          </w:tcPr>
          <w:p w14:paraId="072CE6E7"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16.91 </w:t>
            </w:r>
          </w:p>
        </w:tc>
        <w:tc>
          <w:tcPr>
            <w:tcW w:w="1484" w:type="dxa"/>
            <w:tcBorders>
              <w:top w:val="nil"/>
              <w:left w:val="nil"/>
              <w:bottom w:val="nil"/>
              <w:right w:val="single" w:sz="4" w:space="0" w:color="auto"/>
            </w:tcBorders>
            <w:shd w:val="clear" w:color="auto" w:fill="auto"/>
            <w:noWrap/>
            <w:vAlign w:val="bottom"/>
            <w:hideMark/>
          </w:tcPr>
          <w:p w14:paraId="60A2E05E"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63,685.00 </w:t>
            </w:r>
          </w:p>
        </w:tc>
        <w:tc>
          <w:tcPr>
            <w:tcW w:w="523" w:type="dxa"/>
            <w:tcBorders>
              <w:top w:val="nil"/>
              <w:left w:val="nil"/>
              <w:bottom w:val="nil"/>
              <w:right w:val="nil"/>
            </w:tcBorders>
            <w:shd w:val="clear" w:color="auto" w:fill="auto"/>
            <w:noWrap/>
            <w:vAlign w:val="bottom"/>
            <w:hideMark/>
          </w:tcPr>
          <w:p w14:paraId="638655AE"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1.60 </w:t>
            </w:r>
          </w:p>
        </w:tc>
        <w:tc>
          <w:tcPr>
            <w:tcW w:w="642" w:type="dxa"/>
            <w:tcBorders>
              <w:top w:val="nil"/>
              <w:left w:val="nil"/>
              <w:bottom w:val="nil"/>
              <w:right w:val="nil"/>
            </w:tcBorders>
            <w:shd w:val="clear" w:color="auto" w:fill="auto"/>
            <w:noWrap/>
            <w:vAlign w:val="bottom"/>
            <w:hideMark/>
          </w:tcPr>
          <w:p w14:paraId="3391E4C1"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10.43 </w:t>
            </w:r>
          </w:p>
        </w:tc>
        <w:tc>
          <w:tcPr>
            <w:tcW w:w="1330" w:type="dxa"/>
            <w:tcBorders>
              <w:top w:val="nil"/>
              <w:left w:val="nil"/>
              <w:bottom w:val="nil"/>
              <w:right w:val="single" w:sz="4" w:space="0" w:color="auto"/>
            </w:tcBorders>
            <w:shd w:val="clear" w:color="auto" w:fill="auto"/>
            <w:noWrap/>
            <w:vAlign w:val="bottom"/>
            <w:hideMark/>
          </w:tcPr>
          <w:p w14:paraId="7F019335"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45,236.00 </w:t>
            </w:r>
          </w:p>
        </w:tc>
      </w:tr>
      <w:tr w:rsidR="00461D21" w:rsidRPr="007E5F5E" w14:paraId="6D9A3E55" w14:textId="77777777" w:rsidTr="00371786">
        <w:trPr>
          <w:trHeight w:val="300"/>
          <w:jc w:val="center"/>
        </w:trPr>
        <w:tc>
          <w:tcPr>
            <w:tcW w:w="2120" w:type="dxa"/>
            <w:tcBorders>
              <w:top w:val="nil"/>
              <w:left w:val="single" w:sz="4" w:space="0" w:color="auto"/>
              <w:bottom w:val="nil"/>
              <w:right w:val="single" w:sz="4" w:space="0" w:color="auto"/>
            </w:tcBorders>
            <w:shd w:val="clear" w:color="auto" w:fill="auto"/>
            <w:noWrap/>
            <w:vAlign w:val="bottom"/>
            <w:hideMark/>
          </w:tcPr>
          <w:p w14:paraId="190A574C"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Ciudad de México </w:t>
            </w:r>
          </w:p>
        </w:tc>
        <w:tc>
          <w:tcPr>
            <w:tcW w:w="857" w:type="dxa"/>
            <w:tcBorders>
              <w:top w:val="nil"/>
              <w:left w:val="nil"/>
              <w:bottom w:val="nil"/>
              <w:right w:val="nil"/>
            </w:tcBorders>
            <w:shd w:val="clear" w:color="auto" w:fill="auto"/>
            <w:noWrap/>
            <w:vAlign w:val="bottom"/>
            <w:hideMark/>
          </w:tcPr>
          <w:p w14:paraId="3CC3AB31"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1.47 </w:t>
            </w:r>
          </w:p>
        </w:tc>
        <w:tc>
          <w:tcPr>
            <w:tcW w:w="642" w:type="dxa"/>
            <w:tcBorders>
              <w:top w:val="nil"/>
              <w:left w:val="nil"/>
              <w:bottom w:val="nil"/>
              <w:right w:val="nil"/>
            </w:tcBorders>
            <w:shd w:val="clear" w:color="auto" w:fill="auto"/>
            <w:noWrap/>
            <w:vAlign w:val="bottom"/>
            <w:hideMark/>
          </w:tcPr>
          <w:p w14:paraId="398B5390"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11.60 </w:t>
            </w:r>
          </w:p>
        </w:tc>
        <w:tc>
          <w:tcPr>
            <w:tcW w:w="1484" w:type="dxa"/>
            <w:tcBorders>
              <w:top w:val="nil"/>
              <w:left w:val="nil"/>
              <w:bottom w:val="nil"/>
              <w:right w:val="single" w:sz="4" w:space="0" w:color="auto"/>
            </w:tcBorders>
            <w:shd w:val="clear" w:color="auto" w:fill="auto"/>
            <w:noWrap/>
            <w:vAlign w:val="bottom"/>
            <w:hideMark/>
          </w:tcPr>
          <w:p w14:paraId="31119035"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104,798.00 </w:t>
            </w:r>
          </w:p>
        </w:tc>
        <w:tc>
          <w:tcPr>
            <w:tcW w:w="523" w:type="dxa"/>
            <w:tcBorders>
              <w:top w:val="nil"/>
              <w:left w:val="nil"/>
              <w:bottom w:val="nil"/>
              <w:right w:val="nil"/>
            </w:tcBorders>
            <w:shd w:val="clear" w:color="auto" w:fill="auto"/>
            <w:noWrap/>
            <w:vAlign w:val="bottom"/>
            <w:hideMark/>
          </w:tcPr>
          <w:p w14:paraId="09D61361"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1.36 </w:t>
            </w:r>
          </w:p>
        </w:tc>
        <w:tc>
          <w:tcPr>
            <w:tcW w:w="642" w:type="dxa"/>
            <w:tcBorders>
              <w:top w:val="nil"/>
              <w:left w:val="nil"/>
              <w:bottom w:val="nil"/>
              <w:right w:val="nil"/>
            </w:tcBorders>
            <w:shd w:val="clear" w:color="auto" w:fill="auto"/>
            <w:noWrap/>
            <w:vAlign w:val="bottom"/>
            <w:hideMark/>
          </w:tcPr>
          <w:p w14:paraId="74B226B5"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7.36 </w:t>
            </w:r>
          </w:p>
        </w:tc>
        <w:tc>
          <w:tcPr>
            <w:tcW w:w="1330" w:type="dxa"/>
            <w:tcBorders>
              <w:top w:val="nil"/>
              <w:left w:val="nil"/>
              <w:bottom w:val="nil"/>
              <w:right w:val="single" w:sz="4" w:space="0" w:color="auto"/>
            </w:tcBorders>
            <w:shd w:val="clear" w:color="auto" w:fill="auto"/>
            <w:noWrap/>
            <w:vAlign w:val="bottom"/>
            <w:hideMark/>
          </w:tcPr>
          <w:p w14:paraId="7183EFFA"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56,625.00 </w:t>
            </w:r>
          </w:p>
        </w:tc>
      </w:tr>
      <w:tr w:rsidR="00461D21" w:rsidRPr="007E5F5E" w14:paraId="7B68758C" w14:textId="77777777" w:rsidTr="00371786">
        <w:trPr>
          <w:trHeight w:val="300"/>
          <w:jc w:val="center"/>
        </w:trPr>
        <w:tc>
          <w:tcPr>
            <w:tcW w:w="2120" w:type="dxa"/>
            <w:tcBorders>
              <w:top w:val="nil"/>
              <w:left w:val="single" w:sz="4" w:space="0" w:color="auto"/>
              <w:bottom w:val="nil"/>
              <w:right w:val="single" w:sz="4" w:space="0" w:color="auto"/>
            </w:tcBorders>
            <w:shd w:val="clear" w:color="auto" w:fill="auto"/>
            <w:noWrap/>
            <w:vAlign w:val="bottom"/>
            <w:hideMark/>
          </w:tcPr>
          <w:p w14:paraId="51562E1A"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Coahuila </w:t>
            </w:r>
          </w:p>
        </w:tc>
        <w:tc>
          <w:tcPr>
            <w:tcW w:w="857" w:type="dxa"/>
            <w:tcBorders>
              <w:top w:val="nil"/>
              <w:left w:val="nil"/>
              <w:bottom w:val="nil"/>
              <w:right w:val="nil"/>
            </w:tcBorders>
            <w:shd w:val="clear" w:color="auto" w:fill="auto"/>
            <w:noWrap/>
            <w:vAlign w:val="bottom"/>
            <w:hideMark/>
          </w:tcPr>
          <w:p w14:paraId="72337296"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2.42 </w:t>
            </w:r>
          </w:p>
        </w:tc>
        <w:tc>
          <w:tcPr>
            <w:tcW w:w="642" w:type="dxa"/>
            <w:tcBorders>
              <w:top w:val="nil"/>
              <w:left w:val="nil"/>
              <w:bottom w:val="nil"/>
              <w:right w:val="nil"/>
            </w:tcBorders>
            <w:shd w:val="clear" w:color="auto" w:fill="auto"/>
            <w:noWrap/>
            <w:vAlign w:val="bottom"/>
            <w:hideMark/>
          </w:tcPr>
          <w:p w14:paraId="3ABFC7D9"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19.22 </w:t>
            </w:r>
          </w:p>
        </w:tc>
        <w:tc>
          <w:tcPr>
            <w:tcW w:w="1484" w:type="dxa"/>
            <w:tcBorders>
              <w:top w:val="nil"/>
              <w:left w:val="nil"/>
              <w:bottom w:val="nil"/>
              <w:right w:val="single" w:sz="4" w:space="0" w:color="auto"/>
            </w:tcBorders>
            <w:shd w:val="clear" w:color="auto" w:fill="auto"/>
            <w:noWrap/>
            <w:vAlign w:val="bottom"/>
            <w:hideMark/>
          </w:tcPr>
          <w:p w14:paraId="6A62A446"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61,032.00 </w:t>
            </w:r>
          </w:p>
        </w:tc>
        <w:tc>
          <w:tcPr>
            <w:tcW w:w="523" w:type="dxa"/>
            <w:tcBorders>
              <w:top w:val="nil"/>
              <w:left w:val="nil"/>
              <w:bottom w:val="nil"/>
              <w:right w:val="nil"/>
            </w:tcBorders>
            <w:shd w:val="clear" w:color="auto" w:fill="auto"/>
            <w:noWrap/>
            <w:vAlign w:val="bottom"/>
            <w:hideMark/>
          </w:tcPr>
          <w:p w14:paraId="65450677"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2.06 </w:t>
            </w:r>
          </w:p>
        </w:tc>
        <w:tc>
          <w:tcPr>
            <w:tcW w:w="642" w:type="dxa"/>
            <w:tcBorders>
              <w:top w:val="nil"/>
              <w:left w:val="nil"/>
              <w:bottom w:val="nil"/>
              <w:right w:val="nil"/>
            </w:tcBorders>
            <w:shd w:val="clear" w:color="auto" w:fill="auto"/>
            <w:noWrap/>
            <w:vAlign w:val="bottom"/>
            <w:hideMark/>
          </w:tcPr>
          <w:p w14:paraId="2415F8CC"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13.99 </w:t>
            </w:r>
          </w:p>
        </w:tc>
        <w:tc>
          <w:tcPr>
            <w:tcW w:w="1330" w:type="dxa"/>
            <w:tcBorders>
              <w:top w:val="nil"/>
              <w:left w:val="nil"/>
              <w:bottom w:val="nil"/>
              <w:right w:val="single" w:sz="4" w:space="0" w:color="auto"/>
            </w:tcBorders>
            <w:shd w:val="clear" w:color="auto" w:fill="auto"/>
            <w:noWrap/>
            <w:vAlign w:val="bottom"/>
            <w:hideMark/>
          </w:tcPr>
          <w:p w14:paraId="79F65D5B"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59,376.00 </w:t>
            </w:r>
          </w:p>
        </w:tc>
      </w:tr>
      <w:tr w:rsidR="00461D21" w:rsidRPr="007E5F5E" w14:paraId="302DAB3D" w14:textId="77777777" w:rsidTr="00371786">
        <w:trPr>
          <w:trHeight w:val="300"/>
          <w:jc w:val="center"/>
        </w:trPr>
        <w:tc>
          <w:tcPr>
            <w:tcW w:w="2120" w:type="dxa"/>
            <w:tcBorders>
              <w:top w:val="nil"/>
              <w:left w:val="single" w:sz="4" w:space="0" w:color="auto"/>
              <w:bottom w:val="nil"/>
              <w:right w:val="single" w:sz="4" w:space="0" w:color="auto"/>
            </w:tcBorders>
            <w:shd w:val="clear" w:color="auto" w:fill="auto"/>
            <w:noWrap/>
            <w:vAlign w:val="bottom"/>
            <w:hideMark/>
          </w:tcPr>
          <w:p w14:paraId="7172880C"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Colima </w:t>
            </w:r>
          </w:p>
        </w:tc>
        <w:tc>
          <w:tcPr>
            <w:tcW w:w="857" w:type="dxa"/>
            <w:tcBorders>
              <w:top w:val="nil"/>
              <w:left w:val="nil"/>
              <w:bottom w:val="nil"/>
              <w:right w:val="nil"/>
            </w:tcBorders>
            <w:shd w:val="clear" w:color="auto" w:fill="auto"/>
            <w:noWrap/>
            <w:vAlign w:val="bottom"/>
            <w:hideMark/>
          </w:tcPr>
          <w:p w14:paraId="51DA2EDE"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2.11 </w:t>
            </w:r>
          </w:p>
        </w:tc>
        <w:tc>
          <w:tcPr>
            <w:tcW w:w="642" w:type="dxa"/>
            <w:tcBorders>
              <w:top w:val="nil"/>
              <w:left w:val="nil"/>
              <w:bottom w:val="nil"/>
              <w:right w:val="nil"/>
            </w:tcBorders>
            <w:shd w:val="clear" w:color="auto" w:fill="auto"/>
            <w:noWrap/>
            <w:vAlign w:val="bottom"/>
            <w:hideMark/>
          </w:tcPr>
          <w:p w14:paraId="3A44D3E4"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17.42 </w:t>
            </w:r>
          </w:p>
        </w:tc>
        <w:tc>
          <w:tcPr>
            <w:tcW w:w="1484" w:type="dxa"/>
            <w:tcBorders>
              <w:top w:val="nil"/>
              <w:left w:val="nil"/>
              <w:bottom w:val="nil"/>
              <w:right w:val="single" w:sz="4" w:space="0" w:color="auto"/>
            </w:tcBorders>
            <w:shd w:val="clear" w:color="auto" w:fill="auto"/>
            <w:noWrap/>
            <w:vAlign w:val="bottom"/>
            <w:hideMark/>
          </w:tcPr>
          <w:p w14:paraId="7D81921D"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13,466.00 </w:t>
            </w:r>
          </w:p>
        </w:tc>
        <w:tc>
          <w:tcPr>
            <w:tcW w:w="523" w:type="dxa"/>
            <w:tcBorders>
              <w:top w:val="nil"/>
              <w:left w:val="nil"/>
              <w:bottom w:val="nil"/>
              <w:right w:val="nil"/>
            </w:tcBorders>
            <w:shd w:val="clear" w:color="auto" w:fill="auto"/>
            <w:noWrap/>
            <w:vAlign w:val="bottom"/>
            <w:hideMark/>
          </w:tcPr>
          <w:p w14:paraId="6ECF5CE4"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1.79 </w:t>
            </w:r>
          </w:p>
        </w:tc>
        <w:tc>
          <w:tcPr>
            <w:tcW w:w="642" w:type="dxa"/>
            <w:tcBorders>
              <w:top w:val="nil"/>
              <w:left w:val="nil"/>
              <w:bottom w:val="nil"/>
              <w:right w:val="nil"/>
            </w:tcBorders>
            <w:shd w:val="clear" w:color="auto" w:fill="auto"/>
            <w:noWrap/>
            <w:vAlign w:val="bottom"/>
            <w:hideMark/>
          </w:tcPr>
          <w:p w14:paraId="242B887F"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11.64 </w:t>
            </w:r>
          </w:p>
        </w:tc>
        <w:tc>
          <w:tcPr>
            <w:tcW w:w="1330" w:type="dxa"/>
            <w:tcBorders>
              <w:top w:val="nil"/>
              <w:left w:val="nil"/>
              <w:bottom w:val="nil"/>
              <w:right w:val="single" w:sz="4" w:space="0" w:color="auto"/>
            </w:tcBorders>
            <w:shd w:val="clear" w:color="auto" w:fill="auto"/>
            <w:noWrap/>
            <w:vAlign w:val="bottom"/>
            <w:hideMark/>
          </w:tcPr>
          <w:p w14:paraId="352038BE"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12,184.00 </w:t>
            </w:r>
          </w:p>
        </w:tc>
      </w:tr>
      <w:tr w:rsidR="00461D21" w:rsidRPr="007E5F5E" w14:paraId="54D9984B" w14:textId="77777777" w:rsidTr="00371786">
        <w:trPr>
          <w:trHeight w:val="420"/>
          <w:jc w:val="center"/>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630F114F"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Durango </w:t>
            </w:r>
          </w:p>
        </w:tc>
        <w:tc>
          <w:tcPr>
            <w:tcW w:w="857" w:type="dxa"/>
            <w:tcBorders>
              <w:top w:val="nil"/>
              <w:left w:val="nil"/>
              <w:bottom w:val="single" w:sz="4" w:space="0" w:color="auto"/>
              <w:right w:val="nil"/>
            </w:tcBorders>
            <w:shd w:val="clear" w:color="auto" w:fill="auto"/>
            <w:noWrap/>
            <w:vAlign w:val="bottom"/>
            <w:hideMark/>
          </w:tcPr>
          <w:p w14:paraId="5417EED9"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2.20 </w:t>
            </w:r>
          </w:p>
        </w:tc>
        <w:tc>
          <w:tcPr>
            <w:tcW w:w="642" w:type="dxa"/>
            <w:tcBorders>
              <w:top w:val="nil"/>
              <w:left w:val="nil"/>
              <w:bottom w:val="single" w:sz="4" w:space="0" w:color="auto"/>
              <w:right w:val="nil"/>
            </w:tcBorders>
            <w:shd w:val="clear" w:color="auto" w:fill="auto"/>
            <w:noWrap/>
            <w:vAlign w:val="bottom"/>
            <w:hideMark/>
          </w:tcPr>
          <w:p w14:paraId="3532CAEE" w14:textId="13A894D8"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17.86</w:t>
            </w:r>
          </w:p>
        </w:tc>
        <w:tc>
          <w:tcPr>
            <w:tcW w:w="1484" w:type="dxa"/>
            <w:tcBorders>
              <w:top w:val="nil"/>
              <w:left w:val="nil"/>
              <w:bottom w:val="single" w:sz="4" w:space="0" w:color="auto"/>
              <w:right w:val="single" w:sz="4" w:space="0" w:color="auto"/>
            </w:tcBorders>
            <w:shd w:val="clear" w:color="auto" w:fill="auto"/>
            <w:noWrap/>
            <w:vAlign w:val="bottom"/>
            <w:hideMark/>
          </w:tcPr>
          <w:p w14:paraId="789FECF7"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33,094.00 </w:t>
            </w:r>
          </w:p>
        </w:tc>
        <w:tc>
          <w:tcPr>
            <w:tcW w:w="523" w:type="dxa"/>
            <w:tcBorders>
              <w:top w:val="nil"/>
              <w:left w:val="nil"/>
              <w:bottom w:val="single" w:sz="4" w:space="0" w:color="auto"/>
              <w:right w:val="nil"/>
            </w:tcBorders>
            <w:shd w:val="clear" w:color="auto" w:fill="auto"/>
            <w:noWrap/>
            <w:vAlign w:val="bottom"/>
            <w:hideMark/>
          </w:tcPr>
          <w:p w14:paraId="2A52BE23"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1.68 </w:t>
            </w:r>
          </w:p>
        </w:tc>
        <w:tc>
          <w:tcPr>
            <w:tcW w:w="642" w:type="dxa"/>
            <w:tcBorders>
              <w:top w:val="nil"/>
              <w:left w:val="nil"/>
              <w:bottom w:val="single" w:sz="4" w:space="0" w:color="auto"/>
              <w:right w:val="nil"/>
            </w:tcBorders>
            <w:shd w:val="clear" w:color="auto" w:fill="auto"/>
            <w:noWrap/>
            <w:vAlign w:val="bottom"/>
            <w:hideMark/>
          </w:tcPr>
          <w:p w14:paraId="435508AD" w14:textId="5E0B522A"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11.29</w:t>
            </w:r>
          </w:p>
        </w:tc>
        <w:tc>
          <w:tcPr>
            <w:tcW w:w="1330" w:type="dxa"/>
            <w:tcBorders>
              <w:top w:val="nil"/>
              <w:left w:val="nil"/>
              <w:bottom w:val="single" w:sz="4" w:space="0" w:color="auto"/>
              <w:right w:val="single" w:sz="4" w:space="0" w:color="auto"/>
            </w:tcBorders>
            <w:shd w:val="clear" w:color="auto" w:fill="auto"/>
            <w:noWrap/>
            <w:vAlign w:val="bottom"/>
            <w:hideMark/>
          </w:tcPr>
          <w:p w14:paraId="303AA506" w14:textId="2188E890"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24,385.00</w:t>
            </w:r>
          </w:p>
        </w:tc>
      </w:tr>
      <w:tr w:rsidR="00371786" w:rsidRPr="007E5F5E" w14:paraId="7521671A" w14:textId="77777777" w:rsidTr="00371786">
        <w:trPr>
          <w:trHeight w:val="30"/>
          <w:jc w:val="center"/>
        </w:trPr>
        <w:tc>
          <w:tcPr>
            <w:tcW w:w="2120" w:type="dxa"/>
            <w:tcBorders>
              <w:top w:val="single" w:sz="4" w:space="0" w:color="auto"/>
              <w:left w:val="single" w:sz="4" w:space="0" w:color="auto"/>
              <w:bottom w:val="nil"/>
              <w:right w:val="single" w:sz="4" w:space="0" w:color="auto"/>
            </w:tcBorders>
            <w:shd w:val="clear" w:color="auto" w:fill="auto"/>
            <w:noWrap/>
            <w:vAlign w:val="bottom"/>
          </w:tcPr>
          <w:p w14:paraId="4EE15EB4" w14:textId="77777777" w:rsidR="00371786" w:rsidRPr="007E5F5E" w:rsidRDefault="00371786" w:rsidP="000F6F1D">
            <w:pPr>
              <w:spacing w:after="0" w:line="240" w:lineRule="auto"/>
              <w:rPr>
                <w:rFonts w:ascii="Arial" w:eastAsia="Times New Roman" w:hAnsi="Arial" w:cs="Arial"/>
                <w:color w:val="000000"/>
                <w:sz w:val="20"/>
                <w:szCs w:val="20"/>
                <w:lang w:eastAsia="es-MX"/>
              </w:rPr>
            </w:pPr>
          </w:p>
        </w:tc>
        <w:tc>
          <w:tcPr>
            <w:tcW w:w="857" w:type="dxa"/>
            <w:tcBorders>
              <w:top w:val="single" w:sz="4" w:space="0" w:color="auto"/>
              <w:left w:val="nil"/>
              <w:bottom w:val="nil"/>
              <w:right w:val="nil"/>
            </w:tcBorders>
            <w:shd w:val="clear" w:color="auto" w:fill="auto"/>
            <w:noWrap/>
            <w:vAlign w:val="bottom"/>
          </w:tcPr>
          <w:p w14:paraId="36FB04EB" w14:textId="77777777" w:rsidR="00371786" w:rsidRPr="007E5F5E" w:rsidRDefault="00371786" w:rsidP="000F6F1D">
            <w:pPr>
              <w:spacing w:after="0" w:line="240" w:lineRule="auto"/>
              <w:rPr>
                <w:rFonts w:ascii="Arial" w:eastAsia="Times New Roman" w:hAnsi="Arial" w:cs="Arial"/>
                <w:color w:val="000000"/>
                <w:sz w:val="20"/>
                <w:szCs w:val="20"/>
                <w:lang w:eastAsia="es-MX"/>
              </w:rPr>
            </w:pPr>
          </w:p>
        </w:tc>
        <w:tc>
          <w:tcPr>
            <w:tcW w:w="642" w:type="dxa"/>
            <w:tcBorders>
              <w:top w:val="single" w:sz="4" w:space="0" w:color="auto"/>
              <w:left w:val="nil"/>
              <w:bottom w:val="nil"/>
              <w:right w:val="nil"/>
            </w:tcBorders>
            <w:shd w:val="clear" w:color="auto" w:fill="auto"/>
            <w:noWrap/>
            <w:vAlign w:val="bottom"/>
          </w:tcPr>
          <w:p w14:paraId="56F889EE" w14:textId="623B2FE0" w:rsidR="00371786" w:rsidRPr="007E5F5E" w:rsidRDefault="00371786"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w:t>
            </w:r>
          </w:p>
        </w:tc>
        <w:tc>
          <w:tcPr>
            <w:tcW w:w="1484" w:type="dxa"/>
            <w:tcBorders>
              <w:top w:val="single" w:sz="4" w:space="0" w:color="auto"/>
              <w:left w:val="nil"/>
              <w:bottom w:val="nil"/>
              <w:right w:val="single" w:sz="4" w:space="0" w:color="auto"/>
            </w:tcBorders>
            <w:shd w:val="clear" w:color="auto" w:fill="auto"/>
            <w:noWrap/>
            <w:vAlign w:val="bottom"/>
          </w:tcPr>
          <w:p w14:paraId="17D05225" w14:textId="77777777" w:rsidR="00371786" w:rsidRPr="007E5F5E" w:rsidRDefault="00371786" w:rsidP="000F6F1D">
            <w:pPr>
              <w:spacing w:after="0" w:line="240" w:lineRule="auto"/>
              <w:rPr>
                <w:rFonts w:ascii="Arial" w:eastAsia="Times New Roman" w:hAnsi="Arial" w:cs="Arial"/>
                <w:color w:val="000000"/>
                <w:sz w:val="20"/>
                <w:szCs w:val="20"/>
                <w:lang w:eastAsia="es-MX"/>
              </w:rPr>
            </w:pPr>
          </w:p>
        </w:tc>
        <w:tc>
          <w:tcPr>
            <w:tcW w:w="523" w:type="dxa"/>
            <w:tcBorders>
              <w:top w:val="single" w:sz="4" w:space="0" w:color="auto"/>
              <w:left w:val="nil"/>
              <w:bottom w:val="nil"/>
              <w:right w:val="nil"/>
            </w:tcBorders>
            <w:shd w:val="clear" w:color="auto" w:fill="auto"/>
            <w:noWrap/>
            <w:vAlign w:val="bottom"/>
          </w:tcPr>
          <w:p w14:paraId="2DEC1163" w14:textId="77777777" w:rsidR="00371786" w:rsidRPr="007E5F5E" w:rsidRDefault="00371786" w:rsidP="000F6F1D">
            <w:pPr>
              <w:spacing w:after="0" w:line="240" w:lineRule="auto"/>
              <w:rPr>
                <w:rFonts w:ascii="Arial" w:eastAsia="Times New Roman" w:hAnsi="Arial" w:cs="Arial"/>
                <w:color w:val="000000"/>
                <w:sz w:val="20"/>
                <w:szCs w:val="20"/>
                <w:lang w:eastAsia="es-MX"/>
              </w:rPr>
            </w:pPr>
          </w:p>
        </w:tc>
        <w:tc>
          <w:tcPr>
            <w:tcW w:w="642" w:type="dxa"/>
            <w:tcBorders>
              <w:top w:val="single" w:sz="4" w:space="0" w:color="auto"/>
              <w:left w:val="nil"/>
              <w:bottom w:val="nil"/>
              <w:right w:val="nil"/>
            </w:tcBorders>
            <w:shd w:val="clear" w:color="auto" w:fill="auto"/>
            <w:noWrap/>
            <w:vAlign w:val="bottom"/>
          </w:tcPr>
          <w:p w14:paraId="5463C26E" w14:textId="6B3B53D0" w:rsidR="00371786" w:rsidRPr="007E5F5E" w:rsidRDefault="00371786"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w:t>
            </w:r>
          </w:p>
        </w:tc>
        <w:tc>
          <w:tcPr>
            <w:tcW w:w="1330" w:type="dxa"/>
            <w:tcBorders>
              <w:top w:val="single" w:sz="4" w:space="0" w:color="auto"/>
              <w:left w:val="nil"/>
              <w:bottom w:val="nil"/>
              <w:right w:val="single" w:sz="4" w:space="0" w:color="auto"/>
            </w:tcBorders>
            <w:shd w:val="clear" w:color="auto" w:fill="auto"/>
            <w:noWrap/>
            <w:vAlign w:val="bottom"/>
          </w:tcPr>
          <w:p w14:paraId="1226CA09" w14:textId="4E5EAFBE" w:rsidR="00371786" w:rsidRPr="007E5F5E" w:rsidRDefault="00371786"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w:t>
            </w:r>
          </w:p>
        </w:tc>
      </w:tr>
      <w:tr w:rsidR="00461D21" w:rsidRPr="007E5F5E" w14:paraId="3998677D" w14:textId="77777777" w:rsidTr="00371786">
        <w:trPr>
          <w:trHeight w:val="300"/>
          <w:jc w:val="center"/>
        </w:trPr>
        <w:tc>
          <w:tcPr>
            <w:tcW w:w="2120" w:type="dxa"/>
            <w:tcBorders>
              <w:top w:val="nil"/>
              <w:left w:val="single" w:sz="4" w:space="0" w:color="auto"/>
              <w:bottom w:val="nil"/>
              <w:right w:val="single" w:sz="4" w:space="0" w:color="auto"/>
            </w:tcBorders>
            <w:shd w:val="clear" w:color="auto" w:fill="auto"/>
            <w:noWrap/>
            <w:vAlign w:val="bottom"/>
            <w:hideMark/>
          </w:tcPr>
          <w:p w14:paraId="3AB4492B"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Guanajuato </w:t>
            </w:r>
          </w:p>
        </w:tc>
        <w:tc>
          <w:tcPr>
            <w:tcW w:w="857" w:type="dxa"/>
            <w:tcBorders>
              <w:top w:val="nil"/>
              <w:left w:val="nil"/>
              <w:bottom w:val="nil"/>
              <w:right w:val="nil"/>
            </w:tcBorders>
            <w:shd w:val="clear" w:color="auto" w:fill="auto"/>
            <w:noWrap/>
            <w:vAlign w:val="bottom"/>
            <w:hideMark/>
          </w:tcPr>
          <w:p w14:paraId="3167BAE2"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2.17 </w:t>
            </w:r>
          </w:p>
        </w:tc>
        <w:tc>
          <w:tcPr>
            <w:tcW w:w="642" w:type="dxa"/>
            <w:tcBorders>
              <w:top w:val="nil"/>
              <w:left w:val="nil"/>
              <w:bottom w:val="nil"/>
              <w:right w:val="nil"/>
            </w:tcBorders>
            <w:shd w:val="clear" w:color="auto" w:fill="auto"/>
            <w:noWrap/>
            <w:vAlign w:val="bottom"/>
            <w:hideMark/>
          </w:tcPr>
          <w:p w14:paraId="737935C8"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18.36 </w:t>
            </w:r>
          </w:p>
        </w:tc>
        <w:tc>
          <w:tcPr>
            <w:tcW w:w="1484" w:type="dxa"/>
            <w:tcBorders>
              <w:top w:val="nil"/>
              <w:left w:val="nil"/>
              <w:bottom w:val="nil"/>
              <w:right w:val="single" w:sz="4" w:space="0" w:color="auto"/>
            </w:tcBorders>
            <w:shd w:val="clear" w:color="auto" w:fill="auto"/>
            <w:noWrap/>
            <w:vAlign w:val="bottom"/>
            <w:hideMark/>
          </w:tcPr>
          <w:p w14:paraId="0C113704"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113,379.00 </w:t>
            </w:r>
          </w:p>
        </w:tc>
        <w:tc>
          <w:tcPr>
            <w:tcW w:w="523" w:type="dxa"/>
            <w:tcBorders>
              <w:top w:val="nil"/>
              <w:left w:val="nil"/>
              <w:bottom w:val="nil"/>
              <w:right w:val="nil"/>
            </w:tcBorders>
            <w:shd w:val="clear" w:color="auto" w:fill="auto"/>
            <w:noWrap/>
            <w:vAlign w:val="bottom"/>
            <w:hideMark/>
          </w:tcPr>
          <w:p w14:paraId="0B784396"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1.68 </w:t>
            </w:r>
          </w:p>
        </w:tc>
        <w:tc>
          <w:tcPr>
            <w:tcW w:w="642" w:type="dxa"/>
            <w:tcBorders>
              <w:top w:val="nil"/>
              <w:left w:val="nil"/>
              <w:bottom w:val="nil"/>
              <w:right w:val="nil"/>
            </w:tcBorders>
            <w:shd w:val="clear" w:color="auto" w:fill="auto"/>
            <w:noWrap/>
            <w:vAlign w:val="bottom"/>
            <w:hideMark/>
          </w:tcPr>
          <w:p w14:paraId="1FC58EA3"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11.36 </w:t>
            </w:r>
          </w:p>
        </w:tc>
        <w:tc>
          <w:tcPr>
            <w:tcW w:w="1330" w:type="dxa"/>
            <w:tcBorders>
              <w:top w:val="nil"/>
              <w:left w:val="nil"/>
              <w:bottom w:val="nil"/>
              <w:right w:val="single" w:sz="4" w:space="0" w:color="auto"/>
            </w:tcBorders>
            <w:shd w:val="clear" w:color="auto" w:fill="auto"/>
            <w:noWrap/>
            <w:vAlign w:val="bottom"/>
            <w:hideMark/>
          </w:tcPr>
          <w:p w14:paraId="78FDBF14"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79,326.00 </w:t>
            </w:r>
          </w:p>
        </w:tc>
      </w:tr>
      <w:tr w:rsidR="00461D21" w:rsidRPr="007E5F5E" w14:paraId="7792C85C" w14:textId="77777777" w:rsidTr="00371786">
        <w:trPr>
          <w:trHeight w:val="300"/>
          <w:jc w:val="center"/>
        </w:trPr>
        <w:tc>
          <w:tcPr>
            <w:tcW w:w="2120" w:type="dxa"/>
            <w:tcBorders>
              <w:top w:val="nil"/>
              <w:left w:val="single" w:sz="4" w:space="0" w:color="auto"/>
              <w:bottom w:val="nil"/>
              <w:right w:val="single" w:sz="4" w:space="0" w:color="auto"/>
            </w:tcBorders>
            <w:shd w:val="clear" w:color="auto" w:fill="auto"/>
            <w:noWrap/>
            <w:vAlign w:val="bottom"/>
            <w:hideMark/>
          </w:tcPr>
          <w:p w14:paraId="26C6FEC1"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Guerrero </w:t>
            </w:r>
          </w:p>
        </w:tc>
        <w:tc>
          <w:tcPr>
            <w:tcW w:w="857" w:type="dxa"/>
            <w:tcBorders>
              <w:top w:val="nil"/>
              <w:left w:val="nil"/>
              <w:bottom w:val="nil"/>
              <w:right w:val="nil"/>
            </w:tcBorders>
            <w:shd w:val="clear" w:color="auto" w:fill="auto"/>
            <w:noWrap/>
            <w:vAlign w:val="bottom"/>
            <w:hideMark/>
          </w:tcPr>
          <w:p w14:paraId="3B27EB82"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2.30 </w:t>
            </w:r>
          </w:p>
        </w:tc>
        <w:tc>
          <w:tcPr>
            <w:tcW w:w="642" w:type="dxa"/>
            <w:tcBorders>
              <w:top w:val="nil"/>
              <w:left w:val="nil"/>
              <w:bottom w:val="nil"/>
              <w:right w:val="nil"/>
            </w:tcBorders>
            <w:shd w:val="clear" w:color="auto" w:fill="auto"/>
            <w:noWrap/>
            <w:vAlign w:val="bottom"/>
            <w:hideMark/>
          </w:tcPr>
          <w:p w14:paraId="0582B951"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19.10 </w:t>
            </w:r>
          </w:p>
        </w:tc>
        <w:tc>
          <w:tcPr>
            <w:tcW w:w="1484" w:type="dxa"/>
            <w:tcBorders>
              <w:top w:val="nil"/>
              <w:left w:val="nil"/>
              <w:bottom w:val="nil"/>
              <w:right w:val="single" w:sz="4" w:space="0" w:color="auto"/>
            </w:tcBorders>
            <w:shd w:val="clear" w:color="auto" w:fill="auto"/>
            <w:noWrap/>
            <w:vAlign w:val="bottom"/>
            <w:hideMark/>
          </w:tcPr>
          <w:p w14:paraId="030BF8CD"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69,597.00 </w:t>
            </w:r>
          </w:p>
        </w:tc>
        <w:tc>
          <w:tcPr>
            <w:tcW w:w="523" w:type="dxa"/>
            <w:tcBorders>
              <w:top w:val="nil"/>
              <w:left w:val="nil"/>
              <w:bottom w:val="nil"/>
              <w:right w:val="nil"/>
            </w:tcBorders>
            <w:shd w:val="clear" w:color="auto" w:fill="auto"/>
            <w:noWrap/>
            <w:vAlign w:val="bottom"/>
            <w:hideMark/>
          </w:tcPr>
          <w:p w14:paraId="7D546F91"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1.68 </w:t>
            </w:r>
          </w:p>
        </w:tc>
        <w:tc>
          <w:tcPr>
            <w:tcW w:w="642" w:type="dxa"/>
            <w:tcBorders>
              <w:top w:val="nil"/>
              <w:left w:val="nil"/>
              <w:bottom w:val="nil"/>
              <w:right w:val="nil"/>
            </w:tcBorders>
            <w:shd w:val="clear" w:color="auto" w:fill="auto"/>
            <w:noWrap/>
            <w:vAlign w:val="bottom"/>
            <w:hideMark/>
          </w:tcPr>
          <w:p w14:paraId="2B48F621"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11.47 </w:t>
            </w:r>
          </w:p>
        </w:tc>
        <w:tc>
          <w:tcPr>
            <w:tcW w:w="1330" w:type="dxa"/>
            <w:tcBorders>
              <w:top w:val="nil"/>
              <w:left w:val="nil"/>
              <w:bottom w:val="nil"/>
              <w:right w:val="single" w:sz="4" w:space="0" w:color="auto"/>
            </w:tcBorders>
            <w:shd w:val="clear" w:color="auto" w:fill="auto"/>
            <w:noWrap/>
            <w:vAlign w:val="bottom"/>
            <w:hideMark/>
          </w:tcPr>
          <w:p w14:paraId="2917227C"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41,432.00 </w:t>
            </w:r>
          </w:p>
        </w:tc>
      </w:tr>
      <w:tr w:rsidR="00461D21" w:rsidRPr="007E5F5E" w14:paraId="229C6AF6" w14:textId="77777777" w:rsidTr="00371786">
        <w:trPr>
          <w:trHeight w:val="300"/>
          <w:jc w:val="center"/>
        </w:trPr>
        <w:tc>
          <w:tcPr>
            <w:tcW w:w="2120" w:type="dxa"/>
            <w:tcBorders>
              <w:top w:val="nil"/>
              <w:left w:val="single" w:sz="4" w:space="0" w:color="auto"/>
              <w:bottom w:val="nil"/>
              <w:right w:val="single" w:sz="4" w:space="0" w:color="auto"/>
            </w:tcBorders>
            <w:shd w:val="clear" w:color="auto" w:fill="auto"/>
            <w:noWrap/>
            <w:vAlign w:val="bottom"/>
            <w:hideMark/>
          </w:tcPr>
          <w:p w14:paraId="551D5F0A"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Hidalgo </w:t>
            </w:r>
          </w:p>
        </w:tc>
        <w:tc>
          <w:tcPr>
            <w:tcW w:w="857" w:type="dxa"/>
            <w:tcBorders>
              <w:top w:val="nil"/>
              <w:left w:val="nil"/>
              <w:bottom w:val="nil"/>
              <w:right w:val="nil"/>
            </w:tcBorders>
            <w:shd w:val="clear" w:color="auto" w:fill="auto"/>
            <w:noWrap/>
            <w:vAlign w:val="bottom"/>
            <w:hideMark/>
          </w:tcPr>
          <w:p w14:paraId="62D3F8F1"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2.10 </w:t>
            </w:r>
          </w:p>
        </w:tc>
        <w:tc>
          <w:tcPr>
            <w:tcW w:w="642" w:type="dxa"/>
            <w:tcBorders>
              <w:top w:val="nil"/>
              <w:left w:val="nil"/>
              <w:bottom w:val="nil"/>
              <w:right w:val="nil"/>
            </w:tcBorders>
            <w:shd w:val="clear" w:color="auto" w:fill="auto"/>
            <w:noWrap/>
            <w:vAlign w:val="bottom"/>
            <w:hideMark/>
          </w:tcPr>
          <w:p w14:paraId="79022E7B"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17.21 </w:t>
            </w:r>
          </w:p>
        </w:tc>
        <w:tc>
          <w:tcPr>
            <w:tcW w:w="1484" w:type="dxa"/>
            <w:tcBorders>
              <w:top w:val="nil"/>
              <w:left w:val="nil"/>
              <w:bottom w:val="nil"/>
              <w:right w:val="single" w:sz="4" w:space="0" w:color="auto"/>
            </w:tcBorders>
            <w:shd w:val="clear" w:color="auto" w:fill="auto"/>
            <w:noWrap/>
            <w:vAlign w:val="bottom"/>
            <w:hideMark/>
          </w:tcPr>
          <w:p w14:paraId="63BE2B54"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52,502.00 </w:t>
            </w:r>
          </w:p>
        </w:tc>
        <w:tc>
          <w:tcPr>
            <w:tcW w:w="523" w:type="dxa"/>
            <w:tcBorders>
              <w:top w:val="nil"/>
              <w:left w:val="nil"/>
              <w:bottom w:val="nil"/>
              <w:right w:val="nil"/>
            </w:tcBorders>
            <w:shd w:val="clear" w:color="auto" w:fill="auto"/>
            <w:noWrap/>
            <w:vAlign w:val="bottom"/>
            <w:hideMark/>
          </w:tcPr>
          <w:p w14:paraId="11911F18"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1.72 </w:t>
            </w:r>
          </w:p>
        </w:tc>
        <w:tc>
          <w:tcPr>
            <w:tcW w:w="642" w:type="dxa"/>
            <w:tcBorders>
              <w:top w:val="nil"/>
              <w:left w:val="nil"/>
              <w:bottom w:val="nil"/>
              <w:right w:val="nil"/>
            </w:tcBorders>
            <w:shd w:val="clear" w:color="auto" w:fill="auto"/>
            <w:noWrap/>
            <w:vAlign w:val="bottom"/>
            <w:hideMark/>
          </w:tcPr>
          <w:p w14:paraId="07628C93"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11.48 </w:t>
            </w:r>
          </w:p>
        </w:tc>
        <w:tc>
          <w:tcPr>
            <w:tcW w:w="1330" w:type="dxa"/>
            <w:tcBorders>
              <w:top w:val="nil"/>
              <w:left w:val="nil"/>
              <w:bottom w:val="nil"/>
              <w:right w:val="single" w:sz="4" w:space="0" w:color="auto"/>
            </w:tcBorders>
            <w:shd w:val="clear" w:color="auto" w:fill="auto"/>
            <w:noWrap/>
            <w:vAlign w:val="bottom"/>
            <w:hideMark/>
          </w:tcPr>
          <w:p w14:paraId="6AB7A75C"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43,635.00 </w:t>
            </w:r>
          </w:p>
        </w:tc>
      </w:tr>
      <w:tr w:rsidR="00461D21" w:rsidRPr="007E5F5E" w14:paraId="59A75121" w14:textId="77777777" w:rsidTr="00371786">
        <w:trPr>
          <w:trHeight w:val="300"/>
          <w:jc w:val="center"/>
        </w:trPr>
        <w:tc>
          <w:tcPr>
            <w:tcW w:w="2120" w:type="dxa"/>
            <w:tcBorders>
              <w:top w:val="nil"/>
              <w:left w:val="single" w:sz="4" w:space="0" w:color="auto"/>
              <w:bottom w:val="nil"/>
              <w:right w:val="single" w:sz="4" w:space="0" w:color="auto"/>
            </w:tcBorders>
            <w:shd w:val="clear" w:color="auto" w:fill="auto"/>
            <w:noWrap/>
            <w:vAlign w:val="bottom"/>
            <w:hideMark/>
          </w:tcPr>
          <w:p w14:paraId="65C0207A"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Jalisco </w:t>
            </w:r>
          </w:p>
        </w:tc>
        <w:tc>
          <w:tcPr>
            <w:tcW w:w="857" w:type="dxa"/>
            <w:tcBorders>
              <w:top w:val="nil"/>
              <w:left w:val="nil"/>
              <w:bottom w:val="nil"/>
              <w:right w:val="nil"/>
            </w:tcBorders>
            <w:shd w:val="clear" w:color="auto" w:fill="auto"/>
            <w:noWrap/>
            <w:vAlign w:val="bottom"/>
            <w:hideMark/>
          </w:tcPr>
          <w:p w14:paraId="16AAE29B"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2.09 </w:t>
            </w:r>
          </w:p>
        </w:tc>
        <w:tc>
          <w:tcPr>
            <w:tcW w:w="642" w:type="dxa"/>
            <w:tcBorders>
              <w:top w:val="nil"/>
              <w:left w:val="nil"/>
              <w:bottom w:val="nil"/>
              <w:right w:val="nil"/>
            </w:tcBorders>
            <w:shd w:val="clear" w:color="auto" w:fill="auto"/>
            <w:noWrap/>
            <w:vAlign w:val="bottom"/>
            <w:hideMark/>
          </w:tcPr>
          <w:p w14:paraId="34C41892"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17.25 </w:t>
            </w:r>
          </w:p>
        </w:tc>
        <w:tc>
          <w:tcPr>
            <w:tcW w:w="1484" w:type="dxa"/>
            <w:tcBorders>
              <w:top w:val="nil"/>
              <w:left w:val="nil"/>
              <w:bottom w:val="nil"/>
              <w:right w:val="single" w:sz="4" w:space="0" w:color="auto"/>
            </w:tcBorders>
            <w:shd w:val="clear" w:color="auto" w:fill="auto"/>
            <w:noWrap/>
            <w:vAlign w:val="bottom"/>
            <w:hideMark/>
          </w:tcPr>
          <w:p w14:paraId="61EF5EB8"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143,655.00 </w:t>
            </w:r>
          </w:p>
        </w:tc>
        <w:tc>
          <w:tcPr>
            <w:tcW w:w="523" w:type="dxa"/>
            <w:tcBorders>
              <w:top w:val="nil"/>
              <w:left w:val="nil"/>
              <w:bottom w:val="nil"/>
              <w:right w:val="nil"/>
            </w:tcBorders>
            <w:shd w:val="clear" w:color="auto" w:fill="auto"/>
            <w:noWrap/>
            <w:vAlign w:val="bottom"/>
            <w:hideMark/>
          </w:tcPr>
          <w:p w14:paraId="3711B633"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1.58 </w:t>
            </w:r>
          </w:p>
        </w:tc>
        <w:tc>
          <w:tcPr>
            <w:tcW w:w="642" w:type="dxa"/>
            <w:tcBorders>
              <w:top w:val="nil"/>
              <w:left w:val="nil"/>
              <w:bottom w:val="nil"/>
              <w:right w:val="nil"/>
            </w:tcBorders>
            <w:shd w:val="clear" w:color="auto" w:fill="auto"/>
            <w:noWrap/>
            <w:vAlign w:val="bottom"/>
            <w:hideMark/>
          </w:tcPr>
          <w:p w14:paraId="3D8797F2"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10.40 </w:t>
            </w:r>
          </w:p>
        </w:tc>
        <w:tc>
          <w:tcPr>
            <w:tcW w:w="1330" w:type="dxa"/>
            <w:tcBorders>
              <w:top w:val="nil"/>
              <w:left w:val="nil"/>
              <w:bottom w:val="nil"/>
              <w:right w:val="single" w:sz="4" w:space="0" w:color="auto"/>
            </w:tcBorders>
            <w:shd w:val="clear" w:color="auto" w:fill="auto"/>
            <w:noWrap/>
            <w:vAlign w:val="bottom"/>
            <w:hideMark/>
          </w:tcPr>
          <w:p w14:paraId="15DCFB74"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101,337.00 </w:t>
            </w:r>
          </w:p>
        </w:tc>
      </w:tr>
      <w:tr w:rsidR="00461D21" w:rsidRPr="007E5F5E" w14:paraId="468C6A76" w14:textId="77777777" w:rsidTr="00371786">
        <w:trPr>
          <w:trHeight w:val="300"/>
          <w:jc w:val="center"/>
        </w:trPr>
        <w:tc>
          <w:tcPr>
            <w:tcW w:w="2120" w:type="dxa"/>
            <w:tcBorders>
              <w:top w:val="nil"/>
              <w:left w:val="single" w:sz="4" w:space="0" w:color="auto"/>
              <w:bottom w:val="nil"/>
              <w:right w:val="single" w:sz="4" w:space="0" w:color="auto"/>
            </w:tcBorders>
            <w:shd w:val="clear" w:color="auto" w:fill="auto"/>
            <w:noWrap/>
            <w:vAlign w:val="bottom"/>
            <w:hideMark/>
          </w:tcPr>
          <w:p w14:paraId="02E03D7A"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México </w:t>
            </w:r>
          </w:p>
        </w:tc>
        <w:tc>
          <w:tcPr>
            <w:tcW w:w="857" w:type="dxa"/>
            <w:tcBorders>
              <w:top w:val="nil"/>
              <w:left w:val="nil"/>
              <w:bottom w:val="nil"/>
              <w:right w:val="nil"/>
            </w:tcBorders>
            <w:shd w:val="clear" w:color="auto" w:fill="auto"/>
            <w:noWrap/>
            <w:vAlign w:val="bottom"/>
            <w:hideMark/>
          </w:tcPr>
          <w:p w14:paraId="6FA326AB"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1.91 </w:t>
            </w:r>
          </w:p>
        </w:tc>
        <w:tc>
          <w:tcPr>
            <w:tcW w:w="642" w:type="dxa"/>
            <w:tcBorders>
              <w:top w:val="nil"/>
              <w:left w:val="nil"/>
              <w:bottom w:val="nil"/>
              <w:right w:val="nil"/>
            </w:tcBorders>
            <w:shd w:val="clear" w:color="auto" w:fill="auto"/>
            <w:noWrap/>
            <w:vAlign w:val="bottom"/>
            <w:hideMark/>
          </w:tcPr>
          <w:p w14:paraId="610F548C"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15.99 </w:t>
            </w:r>
          </w:p>
        </w:tc>
        <w:tc>
          <w:tcPr>
            <w:tcW w:w="1484" w:type="dxa"/>
            <w:tcBorders>
              <w:top w:val="nil"/>
              <w:left w:val="nil"/>
              <w:bottom w:val="nil"/>
              <w:right w:val="single" w:sz="4" w:space="0" w:color="auto"/>
            </w:tcBorders>
            <w:shd w:val="clear" w:color="auto" w:fill="auto"/>
            <w:noWrap/>
            <w:vAlign w:val="bottom"/>
            <w:hideMark/>
          </w:tcPr>
          <w:p w14:paraId="242B7B51"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275,685.00 </w:t>
            </w:r>
          </w:p>
        </w:tc>
        <w:tc>
          <w:tcPr>
            <w:tcW w:w="523" w:type="dxa"/>
            <w:tcBorders>
              <w:top w:val="nil"/>
              <w:left w:val="nil"/>
              <w:bottom w:val="nil"/>
              <w:right w:val="nil"/>
            </w:tcBorders>
            <w:shd w:val="clear" w:color="auto" w:fill="auto"/>
            <w:noWrap/>
            <w:vAlign w:val="bottom"/>
            <w:hideMark/>
          </w:tcPr>
          <w:p w14:paraId="3326A0F4"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1.55 </w:t>
            </w:r>
          </w:p>
        </w:tc>
        <w:tc>
          <w:tcPr>
            <w:tcW w:w="642" w:type="dxa"/>
            <w:tcBorders>
              <w:top w:val="nil"/>
              <w:left w:val="nil"/>
              <w:bottom w:val="nil"/>
              <w:right w:val="nil"/>
            </w:tcBorders>
            <w:shd w:val="clear" w:color="auto" w:fill="auto"/>
            <w:noWrap/>
            <w:vAlign w:val="bottom"/>
            <w:hideMark/>
          </w:tcPr>
          <w:p w14:paraId="6BF971E7"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9.80 </w:t>
            </w:r>
          </w:p>
        </w:tc>
        <w:tc>
          <w:tcPr>
            <w:tcW w:w="1330" w:type="dxa"/>
            <w:tcBorders>
              <w:top w:val="nil"/>
              <w:left w:val="nil"/>
              <w:bottom w:val="nil"/>
              <w:right w:val="single" w:sz="4" w:space="0" w:color="auto"/>
            </w:tcBorders>
            <w:shd w:val="clear" w:color="auto" w:fill="auto"/>
            <w:noWrap/>
            <w:vAlign w:val="bottom"/>
            <w:hideMark/>
          </w:tcPr>
          <w:p w14:paraId="5B938CC6"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194,588.00 </w:t>
            </w:r>
          </w:p>
        </w:tc>
      </w:tr>
      <w:tr w:rsidR="00461D21" w:rsidRPr="007E5F5E" w14:paraId="216799DE" w14:textId="77777777" w:rsidTr="00371786">
        <w:trPr>
          <w:trHeight w:val="300"/>
          <w:jc w:val="center"/>
        </w:trPr>
        <w:tc>
          <w:tcPr>
            <w:tcW w:w="2120" w:type="dxa"/>
            <w:tcBorders>
              <w:top w:val="nil"/>
              <w:left w:val="single" w:sz="4" w:space="0" w:color="auto"/>
              <w:bottom w:val="nil"/>
              <w:right w:val="single" w:sz="4" w:space="0" w:color="auto"/>
            </w:tcBorders>
            <w:shd w:val="clear" w:color="auto" w:fill="auto"/>
            <w:noWrap/>
            <w:vAlign w:val="bottom"/>
            <w:hideMark/>
          </w:tcPr>
          <w:p w14:paraId="13DD053D"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Michoacán </w:t>
            </w:r>
          </w:p>
        </w:tc>
        <w:tc>
          <w:tcPr>
            <w:tcW w:w="857" w:type="dxa"/>
            <w:tcBorders>
              <w:top w:val="nil"/>
              <w:left w:val="nil"/>
              <w:bottom w:val="nil"/>
              <w:right w:val="nil"/>
            </w:tcBorders>
            <w:shd w:val="clear" w:color="auto" w:fill="auto"/>
            <w:noWrap/>
            <w:vAlign w:val="bottom"/>
            <w:hideMark/>
          </w:tcPr>
          <w:p w14:paraId="211EBCDE"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2.31 </w:t>
            </w:r>
          </w:p>
        </w:tc>
        <w:tc>
          <w:tcPr>
            <w:tcW w:w="642" w:type="dxa"/>
            <w:tcBorders>
              <w:top w:val="nil"/>
              <w:left w:val="nil"/>
              <w:bottom w:val="nil"/>
              <w:right w:val="nil"/>
            </w:tcBorders>
            <w:shd w:val="clear" w:color="auto" w:fill="auto"/>
            <w:noWrap/>
            <w:vAlign w:val="bottom"/>
            <w:hideMark/>
          </w:tcPr>
          <w:p w14:paraId="334063F8"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19.00 </w:t>
            </w:r>
          </w:p>
        </w:tc>
        <w:tc>
          <w:tcPr>
            <w:tcW w:w="1484" w:type="dxa"/>
            <w:tcBorders>
              <w:top w:val="nil"/>
              <w:left w:val="nil"/>
              <w:bottom w:val="nil"/>
              <w:right w:val="single" w:sz="4" w:space="0" w:color="auto"/>
            </w:tcBorders>
            <w:shd w:val="clear" w:color="auto" w:fill="auto"/>
            <w:noWrap/>
            <w:vAlign w:val="bottom"/>
            <w:hideMark/>
          </w:tcPr>
          <w:p w14:paraId="4847FA55"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91,046.00 </w:t>
            </w:r>
          </w:p>
        </w:tc>
        <w:tc>
          <w:tcPr>
            <w:tcW w:w="523" w:type="dxa"/>
            <w:tcBorders>
              <w:top w:val="nil"/>
              <w:left w:val="nil"/>
              <w:bottom w:val="nil"/>
              <w:right w:val="nil"/>
            </w:tcBorders>
            <w:shd w:val="clear" w:color="auto" w:fill="auto"/>
            <w:noWrap/>
            <w:vAlign w:val="bottom"/>
            <w:hideMark/>
          </w:tcPr>
          <w:p w14:paraId="0C5B7589"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1.97 </w:t>
            </w:r>
          </w:p>
        </w:tc>
        <w:tc>
          <w:tcPr>
            <w:tcW w:w="642" w:type="dxa"/>
            <w:tcBorders>
              <w:top w:val="nil"/>
              <w:left w:val="nil"/>
              <w:bottom w:val="nil"/>
              <w:right w:val="nil"/>
            </w:tcBorders>
            <w:shd w:val="clear" w:color="auto" w:fill="auto"/>
            <w:noWrap/>
            <w:vAlign w:val="bottom"/>
            <w:hideMark/>
          </w:tcPr>
          <w:p w14:paraId="2BB8B667"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13.48 </w:t>
            </w:r>
          </w:p>
        </w:tc>
        <w:tc>
          <w:tcPr>
            <w:tcW w:w="1330" w:type="dxa"/>
            <w:tcBorders>
              <w:top w:val="nil"/>
              <w:left w:val="nil"/>
              <w:bottom w:val="nil"/>
              <w:right w:val="single" w:sz="4" w:space="0" w:color="auto"/>
            </w:tcBorders>
            <w:shd w:val="clear" w:color="auto" w:fill="auto"/>
            <w:noWrap/>
            <w:vAlign w:val="bottom"/>
            <w:hideMark/>
          </w:tcPr>
          <w:p w14:paraId="683A58A5"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72,664.00 </w:t>
            </w:r>
          </w:p>
        </w:tc>
      </w:tr>
      <w:tr w:rsidR="00461D21" w:rsidRPr="007E5F5E" w14:paraId="02DB2F34" w14:textId="77777777" w:rsidTr="00371786">
        <w:trPr>
          <w:trHeight w:val="300"/>
          <w:jc w:val="center"/>
        </w:trPr>
        <w:tc>
          <w:tcPr>
            <w:tcW w:w="2120" w:type="dxa"/>
            <w:tcBorders>
              <w:top w:val="nil"/>
              <w:left w:val="single" w:sz="4" w:space="0" w:color="auto"/>
              <w:bottom w:val="nil"/>
              <w:right w:val="single" w:sz="4" w:space="0" w:color="auto"/>
            </w:tcBorders>
            <w:shd w:val="clear" w:color="auto" w:fill="auto"/>
            <w:noWrap/>
            <w:vAlign w:val="bottom"/>
            <w:hideMark/>
          </w:tcPr>
          <w:p w14:paraId="1E86B104"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Morelos </w:t>
            </w:r>
          </w:p>
        </w:tc>
        <w:tc>
          <w:tcPr>
            <w:tcW w:w="857" w:type="dxa"/>
            <w:tcBorders>
              <w:top w:val="nil"/>
              <w:left w:val="nil"/>
              <w:bottom w:val="nil"/>
              <w:right w:val="nil"/>
            </w:tcBorders>
            <w:shd w:val="clear" w:color="auto" w:fill="auto"/>
            <w:noWrap/>
            <w:vAlign w:val="bottom"/>
            <w:hideMark/>
          </w:tcPr>
          <w:p w14:paraId="3041B85A"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2.03 </w:t>
            </w:r>
          </w:p>
        </w:tc>
        <w:tc>
          <w:tcPr>
            <w:tcW w:w="642" w:type="dxa"/>
            <w:tcBorders>
              <w:top w:val="nil"/>
              <w:left w:val="nil"/>
              <w:bottom w:val="nil"/>
              <w:right w:val="nil"/>
            </w:tcBorders>
            <w:shd w:val="clear" w:color="auto" w:fill="auto"/>
            <w:noWrap/>
            <w:vAlign w:val="bottom"/>
            <w:hideMark/>
          </w:tcPr>
          <w:p w14:paraId="644A1CA0"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16.70 </w:t>
            </w:r>
          </w:p>
        </w:tc>
        <w:tc>
          <w:tcPr>
            <w:tcW w:w="1484" w:type="dxa"/>
            <w:tcBorders>
              <w:top w:val="nil"/>
              <w:left w:val="nil"/>
              <w:bottom w:val="nil"/>
              <w:right w:val="single" w:sz="4" w:space="0" w:color="auto"/>
            </w:tcBorders>
            <w:shd w:val="clear" w:color="auto" w:fill="auto"/>
            <w:noWrap/>
            <w:vAlign w:val="bottom"/>
            <w:hideMark/>
          </w:tcPr>
          <w:p w14:paraId="0A390E5B"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33,775.00 </w:t>
            </w:r>
          </w:p>
        </w:tc>
        <w:tc>
          <w:tcPr>
            <w:tcW w:w="523" w:type="dxa"/>
            <w:tcBorders>
              <w:top w:val="nil"/>
              <w:left w:val="nil"/>
              <w:bottom w:val="nil"/>
              <w:right w:val="nil"/>
            </w:tcBorders>
            <w:shd w:val="clear" w:color="auto" w:fill="auto"/>
            <w:noWrap/>
            <w:vAlign w:val="bottom"/>
            <w:hideMark/>
          </w:tcPr>
          <w:p w14:paraId="49E85F92"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1.78 </w:t>
            </w:r>
          </w:p>
        </w:tc>
        <w:tc>
          <w:tcPr>
            <w:tcW w:w="642" w:type="dxa"/>
            <w:tcBorders>
              <w:top w:val="nil"/>
              <w:left w:val="nil"/>
              <w:bottom w:val="nil"/>
              <w:right w:val="nil"/>
            </w:tcBorders>
            <w:shd w:val="clear" w:color="auto" w:fill="auto"/>
            <w:noWrap/>
            <w:vAlign w:val="bottom"/>
            <w:hideMark/>
          </w:tcPr>
          <w:p w14:paraId="72A74BD0"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11.50 </w:t>
            </w:r>
          </w:p>
        </w:tc>
        <w:tc>
          <w:tcPr>
            <w:tcW w:w="1330" w:type="dxa"/>
            <w:tcBorders>
              <w:top w:val="nil"/>
              <w:left w:val="nil"/>
              <w:bottom w:val="nil"/>
              <w:right w:val="single" w:sz="4" w:space="0" w:color="auto"/>
            </w:tcBorders>
            <w:shd w:val="clear" w:color="auto" w:fill="auto"/>
            <w:noWrap/>
            <w:vAlign w:val="bottom"/>
            <w:hideMark/>
          </w:tcPr>
          <w:p w14:paraId="17145A5C"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27,990.00 </w:t>
            </w:r>
          </w:p>
        </w:tc>
      </w:tr>
      <w:tr w:rsidR="00461D21" w:rsidRPr="007E5F5E" w14:paraId="0581268C" w14:textId="77777777" w:rsidTr="00371786">
        <w:trPr>
          <w:trHeight w:val="300"/>
          <w:jc w:val="center"/>
        </w:trPr>
        <w:tc>
          <w:tcPr>
            <w:tcW w:w="2120" w:type="dxa"/>
            <w:tcBorders>
              <w:top w:val="nil"/>
              <w:left w:val="single" w:sz="4" w:space="0" w:color="auto"/>
              <w:bottom w:val="nil"/>
              <w:right w:val="single" w:sz="4" w:space="0" w:color="auto"/>
            </w:tcBorders>
            <w:shd w:val="clear" w:color="auto" w:fill="auto"/>
            <w:noWrap/>
            <w:vAlign w:val="bottom"/>
            <w:hideMark/>
          </w:tcPr>
          <w:p w14:paraId="2DAE7EB6"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Nayarit </w:t>
            </w:r>
          </w:p>
        </w:tc>
        <w:tc>
          <w:tcPr>
            <w:tcW w:w="857" w:type="dxa"/>
            <w:tcBorders>
              <w:top w:val="nil"/>
              <w:left w:val="nil"/>
              <w:bottom w:val="nil"/>
              <w:right w:val="nil"/>
            </w:tcBorders>
            <w:shd w:val="clear" w:color="auto" w:fill="auto"/>
            <w:noWrap/>
            <w:vAlign w:val="bottom"/>
            <w:hideMark/>
          </w:tcPr>
          <w:p w14:paraId="1A3FD507"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2.25 </w:t>
            </w:r>
          </w:p>
        </w:tc>
        <w:tc>
          <w:tcPr>
            <w:tcW w:w="642" w:type="dxa"/>
            <w:tcBorders>
              <w:top w:val="nil"/>
              <w:left w:val="nil"/>
              <w:bottom w:val="nil"/>
              <w:right w:val="nil"/>
            </w:tcBorders>
            <w:shd w:val="clear" w:color="auto" w:fill="auto"/>
            <w:noWrap/>
            <w:vAlign w:val="bottom"/>
            <w:hideMark/>
          </w:tcPr>
          <w:p w14:paraId="1DDC2DE9"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17.91 </w:t>
            </w:r>
          </w:p>
        </w:tc>
        <w:tc>
          <w:tcPr>
            <w:tcW w:w="1484" w:type="dxa"/>
            <w:tcBorders>
              <w:top w:val="nil"/>
              <w:left w:val="nil"/>
              <w:bottom w:val="nil"/>
              <w:right w:val="single" w:sz="4" w:space="0" w:color="auto"/>
            </w:tcBorders>
            <w:shd w:val="clear" w:color="auto" w:fill="auto"/>
            <w:noWrap/>
            <w:vAlign w:val="bottom"/>
            <w:hideMark/>
          </w:tcPr>
          <w:p w14:paraId="22D9F83F"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22,757.00 </w:t>
            </w:r>
          </w:p>
        </w:tc>
        <w:tc>
          <w:tcPr>
            <w:tcW w:w="523" w:type="dxa"/>
            <w:tcBorders>
              <w:top w:val="nil"/>
              <w:left w:val="nil"/>
              <w:bottom w:val="nil"/>
              <w:right w:val="nil"/>
            </w:tcBorders>
            <w:shd w:val="clear" w:color="auto" w:fill="auto"/>
            <w:noWrap/>
            <w:vAlign w:val="bottom"/>
            <w:hideMark/>
          </w:tcPr>
          <w:p w14:paraId="1F154FFF"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1.71 </w:t>
            </w:r>
          </w:p>
        </w:tc>
        <w:tc>
          <w:tcPr>
            <w:tcW w:w="642" w:type="dxa"/>
            <w:tcBorders>
              <w:top w:val="nil"/>
              <w:left w:val="nil"/>
              <w:bottom w:val="nil"/>
              <w:right w:val="nil"/>
            </w:tcBorders>
            <w:shd w:val="clear" w:color="auto" w:fill="auto"/>
            <w:noWrap/>
            <w:vAlign w:val="bottom"/>
            <w:hideMark/>
          </w:tcPr>
          <w:p w14:paraId="0FAAAB94"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11.43 </w:t>
            </w:r>
          </w:p>
        </w:tc>
        <w:tc>
          <w:tcPr>
            <w:tcW w:w="1330" w:type="dxa"/>
            <w:tcBorders>
              <w:top w:val="nil"/>
              <w:left w:val="nil"/>
              <w:bottom w:val="nil"/>
              <w:right w:val="single" w:sz="4" w:space="0" w:color="auto"/>
            </w:tcBorders>
            <w:shd w:val="clear" w:color="auto" w:fill="auto"/>
            <w:noWrap/>
            <w:vAlign w:val="bottom"/>
            <w:hideMark/>
          </w:tcPr>
          <w:p w14:paraId="2184FA40"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19,182.00 </w:t>
            </w:r>
          </w:p>
        </w:tc>
      </w:tr>
      <w:tr w:rsidR="00461D21" w:rsidRPr="007E5F5E" w14:paraId="554F3449" w14:textId="77777777" w:rsidTr="00371786">
        <w:trPr>
          <w:trHeight w:val="300"/>
          <w:jc w:val="center"/>
        </w:trPr>
        <w:tc>
          <w:tcPr>
            <w:tcW w:w="2120" w:type="dxa"/>
            <w:tcBorders>
              <w:top w:val="nil"/>
              <w:left w:val="single" w:sz="4" w:space="0" w:color="auto"/>
              <w:bottom w:val="nil"/>
              <w:right w:val="single" w:sz="4" w:space="0" w:color="auto"/>
            </w:tcBorders>
            <w:shd w:val="clear" w:color="auto" w:fill="auto"/>
            <w:noWrap/>
            <w:vAlign w:val="bottom"/>
            <w:hideMark/>
          </w:tcPr>
          <w:p w14:paraId="46B06C4D"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Nuevo León </w:t>
            </w:r>
          </w:p>
        </w:tc>
        <w:tc>
          <w:tcPr>
            <w:tcW w:w="857" w:type="dxa"/>
            <w:tcBorders>
              <w:top w:val="nil"/>
              <w:left w:val="nil"/>
              <w:bottom w:val="nil"/>
              <w:right w:val="nil"/>
            </w:tcBorders>
            <w:shd w:val="clear" w:color="auto" w:fill="auto"/>
            <w:noWrap/>
            <w:vAlign w:val="bottom"/>
            <w:hideMark/>
          </w:tcPr>
          <w:p w14:paraId="79379C96"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2.03 </w:t>
            </w:r>
          </w:p>
        </w:tc>
        <w:tc>
          <w:tcPr>
            <w:tcW w:w="642" w:type="dxa"/>
            <w:tcBorders>
              <w:top w:val="nil"/>
              <w:left w:val="nil"/>
              <w:bottom w:val="nil"/>
              <w:right w:val="nil"/>
            </w:tcBorders>
            <w:shd w:val="clear" w:color="auto" w:fill="auto"/>
            <w:noWrap/>
            <w:vAlign w:val="bottom"/>
            <w:hideMark/>
          </w:tcPr>
          <w:p w14:paraId="657F25CB"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16.41 </w:t>
            </w:r>
          </w:p>
        </w:tc>
        <w:tc>
          <w:tcPr>
            <w:tcW w:w="1484" w:type="dxa"/>
            <w:tcBorders>
              <w:top w:val="nil"/>
              <w:left w:val="nil"/>
              <w:bottom w:val="nil"/>
              <w:right w:val="single" w:sz="4" w:space="0" w:color="auto"/>
            </w:tcBorders>
            <w:shd w:val="clear" w:color="auto" w:fill="auto"/>
            <w:noWrap/>
            <w:vAlign w:val="bottom"/>
            <w:hideMark/>
          </w:tcPr>
          <w:p w14:paraId="59D9CDF6"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90,816.00 </w:t>
            </w:r>
          </w:p>
        </w:tc>
        <w:tc>
          <w:tcPr>
            <w:tcW w:w="523" w:type="dxa"/>
            <w:tcBorders>
              <w:top w:val="nil"/>
              <w:left w:val="nil"/>
              <w:bottom w:val="nil"/>
              <w:right w:val="nil"/>
            </w:tcBorders>
            <w:shd w:val="clear" w:color="auto" w:fill="auto"/>
            <w:noWrap/>
            <w:vAlign w:val="bottom"/>
            <w:hideMark/>
          </w:tcPr>
          <w:p w14:paraId="13BF41D1"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1.76 </w:t>
            </w:r>
          </w:p>
        </w:tc>
        <w:tc>
          <w:tcPr>
            <w:tcW w:w="642" w:type="dxa"/>
            <w:tcBorders>
              <w:top w:val="nil"/>
              <w:left w:val="nil"/>
              <w:bottom w:val="nil"/>
              <w:right w:val="nil"/>
            </w:tcBorders>
            <w:shd w:val="clear" w:color="auto" w:fill="auto"/>
            <w:noWrap/>
            <w:vAlign w:val="bottom"/>
            <w:hideMark/>
          </w:tcPr>
          <w:p w14:paraId="2B4CB489"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11.49 </w:t>
            </w:r>
          </w:p>
        </w:tc>
        <w:tc>
          <w:tcPr>
            <w:tcW w:w="1330" w:type="dxa"/>
            <w:tcBorders>
              <w:top w:val="nil"/>
              <w:left w:val="nil"/>
              <w:bottom w:val="nil"/>
              <w:right w:val="single" w:sz="4" w:space="0" w:color="auto"/>
            </w:tcBorders>
            <w:shd w:val="clear" w:color="auto" w:fill="auto"/>
            <w:noWrap/>
            <w:vAlign w:val="bottom"/>
            <w:hideMark/>
          </w:tcPr>
          <w:p w14:paraId="38B6BBCB"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83,067.00 </w:t>
            </w:r>
          </w:p>
        </w:tc>
      </w:tr>
      <w:tr w:rsidR="00461D21" w:rsidRPr="007E5F5E" w14:paraId="5678A359" w14:textId="77777777" w:rsidTr="00371786">
        <w:trPr>
          <w:trHeight w:val="300"/>
          <w:jc w:val="center"/>
        </w:trPr>
        <w:tc>
          <w:tcPr>
            <w:tcW w:w="2120" w:type="dxa"/>
            <w:tcBorders>
              <w:top w:val="nil"/>
              <w:left w:val="single" w:sz="4" w:space="0" w:color="auto"/>
              <w:bottom w:val="nil"/>
              <w:right w:val="single" w:sz="4" w:space="0" w:color="auto"/>
            </w:tcBorders>
            <w:shd w:val="clear" w:color="auto" w:fill="auto"/>
            <w:noWrap/>
            <w:vAlign w:val="bottom"/>
            <w:hideMark/>
          </w:tcPr>
          <w:p w14:paraId="5A95B0AE"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Oaxaca </w:t>
            </w:r>
          </w:p>
        </w:tc>
        <w:tc>
          <w:tcPr>
            <w:tcW w:w="857" w:type="dxa"/>
            <w:tcBorders>
              <w:top w:val="nil"/>
              <w:left w:val="nil"/>
              <w:bottom w:val="nil"/>
              <w:right w:val="nil"/>
            </w:tcBorders>
            <w:shd w:val="clear" w:color="auto" w:fill="auto"/>
            <w:noWrap/>
            <w:vAlign w:val="bottom"/>
            <w:hideMark/>
          </w:tcPr>
          <w:p w14:paraId="3BA7ED16"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2.18 </w:t>
            </w:r>
          </w:p>
        </w:tc>
        <w:tc>
          <w:tcPr>
            <w:tcW w:w="642" w:type="dxa"/>
            <w:tcBorders>
              <w:top w:val="nil"/>
              <w:left w:val="nil"/>
              <w:bottom w:val="nil"/>
              <w:right w:val="nil"/>
            </w:tcBorders>
            <w:shd w:val="clear" w:color="auto" w:fill="auto"/>
            <w:noWrap/>
            <w:vAlign w:val="bottom"/>
            <w:hideMark/>
          </w:tcPr>
          <w:p w14:paraId="343F31B8"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18.04 </w:t>
            </w:r>
          </w:p>
        </w:tc>
        <w:tc>
          <w:tcPr>
            <w:tcW w:w="1484" w:type="dxa"/>
            <w:tcBorders>
              <w:top w:val="nil"/>
              <w:left w:val="nil"/>
              <w:bottom w:val="nil"/>
              <w:right w:val="single" w:sz="4" w:space="0" w:color="auto"/>
            </w:tcBorders>
            <w:shd w:val="clear" w:color="auto" w:fill="auto"/>
            <w:noWrap/>
            <w:vAlign w:val="bottom"/>
            <w:hideMark/>
          </w:tcPr>
          <w:p w14:paraId="776339AE"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74,324.00 </w:t>
            </w:r>
          </w:p>
        </w:tc>
        <w:tc>
          <w:tcPr>
            <w:tcW w:w="523" w:type="dxa"/>
            <w:tcBorders>
              <w:top w:val="nil"/>
              <w:left w:val="nil"/>
              <w:bottom w:val="nil"/>
              <w:right w:val="nil"/>
            </w:tcBorders>
            <w:shd w:val="clear" w:color="auto" w:fill="auto"/>
            <w:noWrap/>
            <w:vAlign w:val="bottom"/>
            <w:hideMark/>
          </w:tcPr>
          <w:p w14:paraId="34A8C03F"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1.76 </w:t>
            </w:r>
          </w:p>
        </w:tc>
        <w:tc>
          <w:tcPr>
            <w:tcW w:w="642" w:type="dxa"/>
            <w:tcBorders>
              <w:top w:val="nil"/>
              <w:left w:val="nil"/>
              <w:bottom w:val="nil"/>
              <w:right w:val="nil"/>
            </w:tcBorders>
            <w:shd w:val="clear" w:color="auto" w:fill="auto"/>
            <w:noWrap/>
            <w:vAlign w:val="bottom"/>
            <w:hideMark/>
          </w:tcPr>
          <w:p w14:paraId="48E40A6D"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11.96 </w:t>
            </w:r>
          </w:p>
        </w:tc>
        <w:tc>
          <w:tcPr>
            <w:tcW w:w="1330" w:type="dxa"/>
            <w:tcBorders>
              <w:top w:val="nil"/>
              <w:left w:val="nil"/>
              <w:bottom w:val="nil"/>
              <w:right w:val="single" w:sz="4" w:space="0" w:color="auto"/>
            </w:tcBorders>
            <w:shd w:val="clear" w:color="auto" w:fill="auto"/>
            <w:noWrap/>
            <w:vAlign w:val="bottom"/>
            <w:hideMark/>
          </w:tcPr>
          <w:p w14:paraId="6F70D3C2"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53,158.00 </w:t>
            </w:r>
          </w:p>
        </w:tc>
      </w:tr>
      <w:tr w:rsidR="00461D21" w:rsidRPr="007E5F5E" w14:paraId="1E3A332D" w14:textId="77777777" w:rsidTr="00371786">
        <w:trPr>
          <w:trHeight w:val="300"/>
          <w:jc w:val="center"/>
        </w:trPr>
        <w:tc>
          <w:tcPr>
            <w:tcW w:w="2120" w:type="dxa"/>
            <w:tcBorders>
              <w:top w:val="nil"/>
              <w:left w:val="single" w:sz="4" w:space="0" w:color="auto"/>
              <w:bottom w:val="nil"/>
              <w:right w:val="single" w:sz="4" w:space="0" w:color="auto"/>
            </w:tcBorders>
            <w:shd w:val="clear" w:color="auto" w:fill="auto"/>
            <w:noWrap/>
            <w:vAlign w:val="bottom"/>
            <w:hideMark/>
          </w:tcPr>
          <w:p w14:paraId="6D1F807F"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Puebla </w:t>
            </w:r>
          </w:p>
        </w:tc>
        <w:tc>
          <w:tcPr>
            <w:tcW w:w="857" w:type="dxa"/>
            <w:tcBorders>
              <w:top w:val="nil"/>
              <w:left w:val="nil"/>
              <w:bottom w:val="nil"/>
              <w:right w:val="nil"/>
            </w:tcBorders>
            <w:shd w:val="clear" w:color="auto" w:fill="auto"/>
            <w:noWrap/>
            <w:vAlign w:val="bottom"/>
            <w:hideMark/>
          </w:tcPr>
          <w:p w14:paraId="6C9168F1"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2.16 </w:t>
            </w:r>
          </w:p>
        </w:tc>
        <w:tc>
          <w:tcPr>
            <w:tcW w:w="642" w:type="dxa"/>
            <w:tcBorders>
              <w:top w:val="nil"/>
              <w:left w:val="nil"/>
              <w:bottom w:val="nil"/>
              <w:right w:val="nil"/>
            </w:tcBorders>
            <w:shd w:val="clear" w:color="auto" w:fill="auto"/>
            <w:noWrap/>
            <w:vAlign w:val="bottom"/>
            <w:hideMark/>
          </w:tcPr>
          <w:p w14:paraId="2173D978"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18.41 </w:t>
            </w:r>
          </w:p>
        </w:tc>
        <w:tc>
          <w:tcPr>
            <w:tcW w:w="1484" w:type="dxa"/>
            <w:tcBorders>
              <w:top w:val="nil"/>
              <w:left w:val="nil"/>
              <w:bottom w:val="nil"/>
              <w:right w:val="single" w:sz="4" w:space="0" w:color="auto"/>
            </w:tcBorders>
            <w:shd w:val="clear" w:color="auto" w:fill="auto"/>
            <w:noWrap/>
            <w:vAlign w:val="bottom"/>
            <w:hideMark/>
          </w:tcPr>
          <w:p w14:paraId="746A8411"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120,470.00 </w:t>
            </w:r>
          </w:p>
        </w:tc>
        <w:tc>
          <w:tcPr>
            <w:tcW w:w="523" w:type="dxa"/>
            <w:tcBorders>
              <w:top w:val="nil"/>
              <w:left w:val="nil"/>
              <w:bottom w:val="nil"/>
              <w:right w:val="nil"/>
            </w:tcBorders>
            <w:shd w:val="clear" w:color="auto" w:fill="auto"/>
            <w:noWrap/>
            <w:vAlign w:val="bottom"/>
            <w:hideMark/>
          </w:tcPr>
          <w:p w14:paraId="35597836"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1.71 </w:t>
            </w:r>
          </w:p>
        </w:tc>
        <w:tc>
          <w:tcPr>
            <w:tcW w:w="642" w:type="dxa"/>
            <w:tcBorders>
              <w:top w:val="nil"/>
              <w:left w:val="nil"/>
              <w:bottom w:val="nil"/>
              <w:right w:val="nil"/>
            </w:tcBorders>
            <w:shd w:val="clear" w:color="auto" w:fill="auto"/>
            <w:noWrap/>
            <w:vAlign w:val="bottom"/>
            <w:hideMark/>
          </w:tcPr>
          <w:p w14:paraId="44658928"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11.65 </w:t>
            </w:r>
          </w:p>
        </w:tc>
        <w:tc>
          <w:tcPr>
            <w:tcW w:w="1330" w:type="dxa"/>
            <w:tcBorders>
              <w:top w:val="nil"/>
              <w:left w:val="nil"/>
              <w:bottom w:val="nil"/>
              <w:right w:val="single" w:sz="4" w:space="0" w:color="auto"/>
            </w:tcBorders>
            <w:shd w:val="clear" w:color="auto" w:fill="auto"/>
            <w:noWrap/>
            <w:vAlign w:val="bottom"/>
            <w:hideMark/>
          </w:tcPr>
          <w:p w14:paraId="064B9FB2"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89,332.00 </w:t>
            </w:r>
          </w:p>
        </w:tc>
      </w:tr>
      <w:tr w:rsidR="00461D21" w:rsidRPr="007E5F5E" w14:paraId="6F6D56CC" w14:textId="77777777" w:rsidTr="00371786">
        <w:trPr>
          <w:trHeight w:val="300"/>
          <w:jc w:val="center"/>
        </w:trPr>
        <w:tc>
          <w:tcPr>
            <w:tcW w:w="2120" w:type="dxa"/>
            <w:tcBorders>
              <w:top w:val="nil"/>
              <w:left w:val="single" w:sz="4" w:space="0" w:color="auto"/>
              <w:bottom w:val="nil"/>
              <w:right w:val="single" w:sz="4" w:space="0" w:color="auto"/>
            </w:tcBorders>
            <w:shd w:val="clear" w:color="auto" w:fill="auto"/>
            <w:noWrap/>
            <w:vAlign w:val="bottom"/>
            <w:hideMark/>
          </w:tcPr>
          <w:p w14:paraId="39CA1213"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Querétaro </w:t>
            </w:r>
          </w:p>
        </w:tc>
        <w:tc>
          <w:tcPr>
            <w:tcW w:w="857" w:type="dxa"/>
            <w:tcBorders>
              <w:top w:val="nil"/>
              <w:left w:val="nil"/>
              <w:bottom w:val="nil"/>
              <w:right w:val="nil"/>
            </w:tcBorders>
            <w:shd w:val="clear" w:color="auto" w:fill="auto"/>
            <w:noWrap/>
            <w:vAlign w:val="bottom"/>
            <w:hideMark/>
          </w:tcPr>
          <w:p w14:paraId="18243CBE"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2.03 </w:t>
            </w:r>
          </w:p>
        </w:tc>
        <w:tc>
          <w:tcPr>
            <w:tcW w:w="642" w:type="dxa"/>
            <w:tcBorders>
              <w:top w:val="nil"/>
              <w:left w:val="nil"/>
              <w:bottom w:val="nil"/>
              <w:right w:val="nil"/>
            </w:tcBorders>
            <w:shd w:val="clear" w:color="auto" w:fill="auto"/>
            <w:noWrap/>
            <w:vAlign w:val="bottom"/>
            <w:hideMark/>
          </w:tcPr>
          <w:p w14:paraId="413B16B2"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17.51 </w:t>
            </w:r>
          </w:p>
        </w:tc>
        <w:tc>
          <w:tcPr>
            <w:tcW w:w="1484" w:type="dxa"/>
            <w:tcBorders>
              <w:top w:val="nil"/>
              <w:left w:val="nil"/>
              <w:bottom w:val="nil"/>
              <w:right w:val="single" w:sz="4" w:space="0" w:color="auto"/>
            </w:tcBorders>
            <w:shd w:val="clear" w:color="auto" w:fill="auto"/>
            <w:noWrap/>
            <w:vAlign w:val="bottom"/>
            <w:hideMark/>
          </w:tcPr>
          <w:p w14:paraId="12E2840E"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39,215.00 </w:t>
            </w:r>
          </w:p>
        </w:tc>
        <w:tc>
          <w:tcPr>
            <w:tcW w:w="523" w:type="dxa"/>
            <w:tcBorders>
              <w:top w:val="nil"/>
              <w:left w:val="nil"/>
              <w:bottom w:val="nil"/>
              <w:right w:val="nil"/>
            </w:tcBorders>
            <w:shd w:val="clear" w:color="auto" w:fill="auto"/>
            <w:noWrap/>
            <w:vAlign w:val="bottom"/>
            <w:hideMark/>
          </w:tcPr>
          <w:p w14:paraId="16F0DB50"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1.68 </w:t>
            </w:r>
          </w:p>
        </w:tc>
        <w:tc>
          <w:tcPr>
            <w:tcW w:w="642" w:type="dxa"/>
            <w:tcBorders>
              <w:top w:val="nil"/>
              <w:left w:val="nil"/>
              <w:bottom w:val="nil"/>
              <w:right w:val="nil"/>
            </w:tcBorders>
            <w:shd w:val="clear" w:color="auto" w:fill="auto"/>
            <w:noWrap/>
            <w:vAlign w:val="bottom"/>
            <w:hideMark/>
          </w:tcPr>
          <w:p w14:paraId="311A57D1"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10.97 </w:t>
            </w:r>
          </w:p>
        </w:tc>
        <w:tc>
          <w:tcPr>
            <w:tcW w:w="1330" w:type="dxa"/>
            <w:tcBorders>
              <w:top w:val="nil"/>
              <w:left w:val="nil"/>
              <w:bottom w:val="nil"/>
              <w:right w:val="single" w:sz="4" w:space="0" w:color="auto"/>
            </w:tcBorders>
            <w:shd w:val="clear" w:color="auto" w:fill="auto"/>
            <w:noWrap/>
            <w:vAlign w:val="bottom"/>
            <w:hideMark/>
          </w:tcPr>
          <w:p w14:paraId="5AA7B8E7"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34,360.00 </w:t>
            </w:r>
          </w:p>
        </w:tc>
      </w:tr>
      <w:tr w:rsidR="00461D21" w:rsidRPr="007E5F5E" w14:paraId="6AF04EA1" w14:textId="77777777" w:rsidTr="00371786">
        <w:trPr>
          <w:trHeight w:val="300"/>
          <w:jc w:val="center"/>
        </w:trPr>
        <w:tc>
          <w:tcPr>
            <w:tcW w:w="2120" w:type="dxa"/>
            <w:tcBorders>
              <w:top w:val="nil"/>
              <w:left w:val="single" w:sz="4" w:space="0" w:color="auto"/>
              <w:bottom w:val="nil"/>
              <w:right w:val="single" w:sz="4" w:space="0" w:color="auto"/>
            </w:tcBorders>
            <w:shd w:val="clear" w:color="auto" w:fill="auto"/>
            <w:noWrap/>
            <w:vAlign w:val="bottom"/>
            <w:hideMark/>
          </w:tcPr>
          <w:p w14:paraId="50A7CAFE"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Quintana Roo </w:t>
            </w:r>
          </w:p>
        </w:tc>
        <w:tc>
          <w:tcPr>
            <w:tcW w:w="857" w:type="dxa"/>
            <w:tcBorders>
              <w:top w:val="nil"/>
              <w:left w:val="nil"/>
              <w:bottom w:val="nil"/>
              <w:right w:val="nil"/>
            </w:tcBorders>
            <w:shd w:val="clear" w:color="auto" w:fill="auto"/>
            <w:noWrap/>
            <w:vAlign w:val="bottom"/>
            <w:hideMark/>
          </w:tcPr>
          <w:p w14:paraId="502347EA"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2.01 </w:t>
            </w:r>
          </w:p>
        </w:tc>
        <w:tc>
          <w:tcPr>
            <w:tcW w:w="642" w:type="dxa"/>
            <w:tcBorders>
              <w:top w:val="nil"/>
              <w:left w:val="nil"/>
              <w:bottom w:val="nil"/>
              <w:right w:val="nil"/>
            </w:tcBorders>
            <w:shd w:val="clear" w:color="auto" w:fill="auto"/>
            <w:noWrap/>
            <w:vAlign w:val="bottom"/>
            <w:hideMark/>
          </w:tcPr>
          <w:p w14:paraId="748ACD72"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17.84 </w:t>
            </w:r>
          </w:p>
        </w:tc>
        <w:tc>
          <w:tcPr>
            <w:tcW w:w="1484" w:type="dxa"/>
            <w:tcBorders>
              <w:top w:val="nil"/>
              <w:left w:val="nil"/>
              <w:bottom w:val="nil"/>
              <w:right w:val="single" w:sz="4" w:space="0" w:color="auto"/>
            </w:tcBorders>
            <w:shd w:val="clear" w:color="auto" w:fill="auto"/>
            <w:noWrap/>
            <w:vAlign w:val="bottom"/>
            <w:hideMark/>
          </w:tcPr>
          <w:p w14:paraId="0BF88EC5"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30,049.00 </w:t>
            </w:r>
          </w:p>
        </w:tc>
        <w:tc>
          <w:tcPr>
            <w:tcW w:w="523" w:type="dxa"/>
            <w:tcBorders>
              <w:top w:val="nil"/>
              <w:left w:val="nil"/>
              <w:bottom w:val="nil"/>
              <w:right w:val="nil"/>
            </w:tcBorders>
            <w:shd w:val="clear" w:color="auto" w:fill="auto"/>
            <w:noWrap/>
            <w:vAlign w:val="bottom"/>
            <w:hideMark/>
          </w:tcPr>
          <w:p w14:paraId="5989D4E3"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1.58 </w:t>
            </w:r>
          </w:p>
        </w:tc>
        <w:tc>
          <w:tcPr>
            <w:tcW w:w="642" w:type="dxa"/>
            <w:tcBorders>
              <w:top w:val="nil"/>
              <w:left w:val="nil"/>
              <w:bottom w:val="nil"/>
              <w:right w:val="nil"/>
            </w:tcBorders>
            <w:shd w:val="clear" w:color="auto" w:fill="auto"/>
            <w:noWrap/>
            <w:vAlign w:val="bottom"/>
            <w:hideMark/>
          </w:tcPr>
          <w:p w14:paraId="17B8E095"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10.64 </w:t>
            </w:r>
          </w:p>
        </w:tc>
        <w:tc>
          <w:tcPr>
            <w:tcW w:w="1330" w:type="dxa"/>
            <w:tcBorders>
              <w:top w:val="nil"/>
              <w:left w:val="nil"/>
              <w:bottom w:val="nil"/>
              <w:right w:val="single" w:sz="4" w:space="0" w:color="auto"/>
            </w:tcBorders>
            <w:shd w:val="clear" w:color="auto" w:fill="auto"/>
            <w:noWrap/>
            <w:vAlign w:val="bottom"/>
            <w:hideMark/>
          </w:tcPr>
          <w:p w14:paraId="2A8C7EFC"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27,282.00 </w:t>
            </w:r>
          </w:p>
        </w:tc>
      </w:tr>
      <w:tr w:rsidR="00461D21" w:rsidRPr="007E5F5E" w14:paraId="2C0FE7D8" w14:textId="77777777" w:rsidTr="00371786">
        <w:trPr>
          <w:trHeight w:val="300"/>
          <w:jc w:val="center"/>
        </w:trPr>
        <w:tc>
          <w:tcPr>
            <w:tcW w:w="2120" w:type="dxa"/>
            <w:tcBorders>
              <w:top w:val="nil"/>
              <w:left w:val="single" w:sz="4" w:space="0" w:color="auto"/>
              <w:bottom w:val="nil"/>
              <w:right w:val="single" w:sz="4" w:space="0" w:color="auto"/>
            </w:tcBorders>
            <w:shd w:val="clear" w:color="auto" w:fill="auto"/>
            <w:noWrap/>
            <w:vAlign w:val="bottom"/>
            <w:hideMark/>
          </w:tcPr>
          <w:p w14:paraId="20056276"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San Luis Potosí </w:t>
            </w:r>
          </w:p>
        </w:tc>
        <w:tc>
          <w:tcPr>
            <w:tcW w:w="857" w:type="dxa"/>
            <w:tcBorders>
              <w:top w:val="nil"/>
              <w:left w:val="nil"/>
              <w:bottom w:val="nil"/>
              <w:right w:val="nil"/>
            </w:tcBorders>
            <w:shd w:val="clear" w:color="auto" w:fill="auto"/>
            <w:noWrap/>
            <w:vAlign w:val="bottom"/>
            <w:hideMark/>
          </w:tcPr>
          <w:p w14:paraId="099F18F8"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2.12 </w:t>
            </w:r>
          </w:p>
        </w:tc>
        <w:tc>
          <w:tcPr>
            <w:tcW w:w="642" w:type="dxa"/>
            <w:tcBorders>
              <w:top w:val="nil"/>
              <w:left w:val="nil"/>
              <w:bottom w:val="nil"/>
              <w:right w:val="nil"/>
            </w:tcBorders>
            <w:shd w:val="clear" w:color="auto" w:fill="auto"/>
            <w:noWrap/>
            <w:vAlign w:val="bottom"/>
            <w:hideMark/>
          </w:tcPr>
          <w:p w14:paraId="378D9C3D"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17.50 </w:t>
            </w:r>
          </w:p>
        </w:tc>
        <w:tc>
          <w:tcPr>
            <w:tcW w:w="1484" w:type="dxa"/>
            <w:tcBorders>
              <w:top w:val="nil"/>
              <w:left w:val="nil"/>
              <w:bottom w:val="nil"/>
              <w:right w:val="single" w:sz="4" w:space="0" w:color="auto"/>
            </w:tcBorders>
            <w:shd w:val="clear" w:color="auto" w:fill="auto"/>
            <w:noWrap/>
            <w:vAlign w:val="bottom"/>
            <w:hideMark/>
          </w:tcPr>
          <w:p w14:paraId="4EAFA833"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49,805.00 </w:t>
            </w:r>
          </w:p>
        </w:tc>
        <w:tc>
          <w:tcPr>
            <w:tcW w:w="523" w:type="dxa"/>
            <w:tcBorders>
              <w:top w:val="nil"/>
              <w:left w:val="nil"/>
              <w:bottom w:val="nil"/>
              <w:right w:val="nil"/>
            </w:tcBorders>
            <w:shd w:val="clear" w:color="auto" w:fill="auto"/>
            <w:noWrap/>
            <w:vAlign w:val="bottom"/>
            <w:hideMark/>
          </w:tcPr>
          <w:p w14:paraId="43D496C7"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1.67 </w:t>
            </w:r>
          </w:p>
        </w:tc>
        <w:tc>
          <w:tcPr>
            <w:tcW w:w="642" w:type="dxa"/>
            <w:tcBorders>
              <w:top w:val="nil"/>
              <w:left w:val="nil"/>
              <w:bottom w:val="nil"/>
              <w:right w:val="nil"/>
            </w:tcBorders>
            <w:shd w:val="clear" w:color="auto" w:fill="auto"/>
            <w:noWrap/>
            <w:vAlign w:val="bottom"/>
            <w:hideMark/>
          </w:tcPr>
          <w:p w14:paraId="4DA9197F"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11.02 </w:t>
            </w:r>
          </w:p>
        </w:tc>
        <w:tc>
          <w:tcPr>
            <w:tcW w:w="1330" w:type="dxa"/>
            <w:tcBorders>
              <w:top w:val="nil"/>
              <w:left w:val="nil"/>
              <w:bottom w:val="nil"/>
              <w:right w:val="single" w:sz="4" w:space="0" w:color="auto"/>
            </w:tcBorders>
            <w:shd w:val="clear" w:color="auto" w:fill="auto"/>
            <w:noWrap/>
            <w:vAlign w:val="bottom"/>
            <w:hideMark/>
          </w:tcPr>
          <w:p w14:paraId="6B4408BB"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34,781.00 </w:t>
            </w:r>
          </w:p>
        </w:tc>
      </w:tr>
      <w:tr w:rsidR="00461D21" w:rsidRPr="007E5F5E" w14:paraId="67CF460B" w14:textId="77777777" w:rsidTr="00371786">
        <w:trPr>
          <w:trHeight w:val="300"/>
          <w:jc w:val="center"/>
        </w:trPr>
        <w:tc>
          <w:tcPr>
            <w:tcW w:w="2120" w:type="dxa"/>
            <w:tcBorders>
              <w:top w:val="nil"/>
              <w:left w:val="single" w:sz="4" w:space="0" w:color="auto"/>
              <w:bottom w:val="nil"/>
              <w:right w:val="single" w:sz="4" w:space="0" w:color="auto"/>
            </w:tcBorders>
            <w:shd w:val="clear" w:color="auto" w:fill="auto"/>
            <w:noWrap/>
            <w:vAlign w:val="bottom"/>
            <w:hideMark/>
          </w:tcPr>
          <w:p w14:paraId="793E1152"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Sinaloa </w:t>
            </w:r>
          </w:p>
        </w:tc>
        <w:tc>
          <w:tcPr>
            <w:tcW w:w="857" w:type="dxa"/>
            <w:tcBorders>
              <w:top w:val="nil"/>
              <w:left w:val="nil"/>
              <w:bottom w:val="nil"/>
              <w:right w:val="nil"/>
            </w:tcBorders>
            <w:shd w:val="clear" w:color="auto" w:fill="auto"/>
            <w:noWrap/>
            <w:vAlign w:val="bottom"/>
            <w:hideMark/>
          </w:tcPr>
          <w:p w14:paraId="5D2B7E68"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2.03 </w:t>
            </w:r>
          </w:p>
        </w:tc>
        <w:tc>
          <w:tcPr>
            <w:tcW w:w="642" w:type="dxa"/>
            <w:tcBorders>
              <w:top w:val="nil"/>
              <w:left w:val="nil"/>
              <w:bottom w:val="nil"/>
              <w:right w:val="nil"/>
            </w:tcBorders>
            <w:shd w:val="clear" w:color="auto" w:fill="auto"/>
            <w:noWrap/>
            <w:vAlign w:val="bottom"/>
            <w:hideMark/>
          </w:tcPr>
          <w:p w14:paraId="689D534A"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16.29 </w:t>
            </w:r>
          </w:p>
        </w:tc>
        <w:tc>
          <w:tcPr>
            <w:tcW w:w="1484" w:type="dxa"/>
            <w:tcBorders>
              <w:top w:val="nil"/>
              <w:left w:val="nil"/>
              <w:bottom w:val="nil"/>
              <w:right w:val="single" w:sz="4" w:space="0" w:color="auto"/>
            </w:tcBorders>
            <w:shd w:val="clear" w:color="auto" w:fill="auto"/>
            <w:noWrap/>
            <w:vAlign w:val="bottom"/>
            <w:hideMark/>
          </w:tcPr>
          <w:p w14:paraId="76913338"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50,995.00 </w:t>
            </w:r>
          </w:p>
        </w:tc>
        <w:tc>
          <w:tcPr>
            <w:tcW w:w="523" w:type="dxa"/>
            <w:tcBorders>
              <w:top w:val="nil"/>
              <w:left w:val="nil"/>
              <w:bottom w:val="nil"/>
              <w:right w:val="nil"/>
            </w:tcBorders>
            <w:shd w:val="clear" w:color="auto" w:fill="auto"/>
            <w:noWrap/>
            <w:vAlign w:val="bottom"/>
            <w:hideMark/>
          </w:tcPr>
          <w:p w14:paraId="3B66D66B"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1.72 </w:t>
            </w:r>
          </w:p>
        </w:tc>
        <w:tc>
          <w:tcPr>
            <w:tcW w:w="642" w:type="dxa"/>
            <w:tcBorders>
              <w:top w:val="nil"/>
              <w:left w:val="nil"/>
              <w:bottom w:val="nil"/>
              <w:right w:val="nil"/>
            </w:tcBorders>
            <w:shd w:val="clear" w:color="auto" w:fill="auto"/>
            <w:noWrap/>
            <w:vAlign w:val="bottom"/>
            <w:hideMark/>
          </w:tcPr>
          <w:p w14:paraId="733C9013"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10.92 </w:t>
            </w:r>
          </w:p>
        </w:tc>
        <w:tc>
          <w:tcPr>
            <w:tcW w:w="1330" w:type="dxa"/>
            <w:tcBorders>
              <w:top w:val="nil"/>
              <w:left w:val="nil"/>
              <w:bottom w:val="nil"/>
              <w:right w:val="single" w:sz="4" w:space="0" w:color="auto"/>
            </w:tcBorders>
            <w:shd w:val="clear" w:color="auto" w:fill="auto"/>
            <w:noWrap/>
            <w:vAlign w:val="bottom"/>
            <w:hideMark/>
          </w:tcPr>
          <w:p w14:paraId="7570147F"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38,928.00 </w:t>
            </w:r>
          </w:p>
        </w:tc>
      </w:tr>
      <w:tr w:rsidR="00461D21" w:rsidRPr="007E5F5E" w14:paraId="6DEFBECE" w14:textId="77777777" w:rsidTr="00371786">
        <w:trPr>
          <w:trHeight w:val="300"/>
          <w:jc w:val="center"/>
        </w:trPr>
        <w:tc>
          <w:tcPr>
            <w:tcW w:w="2120" w:type="dxa"/>
            <w:tcBorders>
              <w:top w:val="nil"/>
              <w:left w:val="single" w:sz="4" w:space="0" w:color="auto"/>
              <w:bottom w:val="nil"/>
              <w:right w:val="single" w:sz="4" w:space="0" w:color="auto"/>
            </w:tcBorders>
            <w:shd w:val="clear" w:color="auto" w:fill="auto"/>
            <w:noWrap/>
            <w:vAlign w:val="bottom"/>
            <w:hideMark/>
          </w:tcPr>
          <w:p w14:paraId="15BF0238"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Sonora </w:t>
            </w:r>
          </w:p>
        </w:tc>
        <w:tc>
          <w:tcPr>
            <w:tcW w:w="857" w:type="dxa"/>
            <w:tcBorders>
              <w:top w:val="nil"/>
              <w:left w:val="nil"/>
              <w:bottom w:val="nil"/>
              <w:right w:val="nil"/>
            </w:tcBorders>
            <w:shd w:val="clear" w:color="auto" w:fill="auto"/>
            <w:noWrap/>
            <w:vAlign w:val="bottom"/>
            <w:hideMark/>
          </w:tcPr>
          <w:p w14:paraId="5BC4D93C"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2.03 </w:t>
            </w:r>
          </w:p>
        </w:tc>
        <w:tc>
          <w:tcPr>
            <w:tcW w:w="642" w:type="dxa"/>
            <w:tcBorders>
              <w:top w:val="nil"/>
              <w:left w:val="nil"/>
              <w:bottom w:val="nil"/>
              <w:right w:val="nil"/>
            </w:tcBorders>
            <w:shd w:val="clear" w:color="auto" w:fill="auto"/>
            <w:noWrap/>
            <w:vAlign w:val="bottom"/>
            <w:hideMark/>
          </w:tcPr>
          <w:p w14:paraId="29CECA29"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16.47 </w:t>
            </w:r>
          </w:p>
        </w:tc>
        <w:tc>
          <w:tcPr>
            <w:tcW w:w="1484" w:type="dxa"/>
            <w:tcBorders>
              <w:top w:val="nil"/>
              <w:left w:val="nil"/>
              <w:bottom w:val="nil"/>
              <w:right w:val="single" w:sz="4" w:space="0" w:color="auto"/>
            </w:tcBorders>
            <w:shd w:val="clear" w:color="auto" w:fill="auto"/>
            <w:noWrap/>
            <w:vAlign w:val="bottom"/>
            <w:hideMark/>
          </w:tcPr>
          <w:p w14:paraId="7D2E47EE"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50,020.00 </w:t>
            </w:r>
          </w:p>
        </w:tc>
        <w:tc>
          <w:tcPr>
            <w:tcW w:w="523" w:type="dxa"/>
            <w:tcBorders>
              <w:top w:val="nil"/>
              <w:left w:val="nil"/>
              <w:bottom w:val="nil"/>
              <w:right w:val="nil"/>
            </w:tcBorders>
            <w:shd w:val="clear" w:color="auto" w:fill="auto"/>
            <w:noWrap/>
            <w:vAlign w:val="bottom"/>
            <w:hideMark/>
          </w:tcPr>
          <w:p w14:paraId="738A68C6"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1.73 </w:t>
            </w:r>
          </w:p>
        </w:tc>
        <w:tc>
          <w:tcPr>
            <w:tcW w:w="642" w:type="dxa"/>
            <w:tcBorders>
              <w:top w:val="nil"/>
              <w:left w:val="nil"/>
              <w:bottom w:val="nil"/>
              <w:right w:val="nil"/>
            </w:tcBorders>
            <w:shd w:val="clear" w:color="auto" w:fill="auto"/>
            <w:noWrap/>
            <w:vAlign w:val="bottom"/>
            <w:hideMark/>
          </w:tcPr>
          <w:p w14:paraId="1FE262C0"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11.19 </w:t>
            </w:r>
          </w:p>
        </w:tc>
        <w:tc>
          <w:tcPr>
            <w:tcW w:w="1330" w:type="dxa"/>
            <w:tcBorders>
              <w:top w:val="nil"/>
              <w:left w:val="nil"/>
              <w:bottom w:val="nil"/>
              <w:right w:val="single" w:sz="4" w:space="0" w:color="auto"/>
            </w:tcBorders>
            <w:shd w:val="clear" w:color="auto" w:fill="auto"/>
            <w:noWrap/>
            <w:vAlign w:val="bottom"/>
            <w:hideMark/>
          </w:tcPr>
          <w:p w14:paraId="4AF32C1A"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43,082.00 </w:t>
            </w:r>
          </w:p>
        </w:tc>
      </w:tr>
      <w:tr w:rsidR="00461D21" w:rsidRPr="007E5F5E" w14:paraId="3F5915FD" w14:textId="77777777" w:rsidTr="00371786">
        <w:trPr>
          <w:trHeight w:val="300"/>
          <w:jc w:val="center"/>
        </w:trPr>
        <w:tc>
          <w:tcPr>
            <w:tcW w:w="2120" w:type="dxa"/>
            <w:tcBorders>
              <w:top w:val="nil"/>
              <w:left w:val="single" w:sz="4" w:space="0" w:color="auto"/>
              <w:bottom w:val="nil"/>
              <w:right w:val="single" w:sz="4" w:space="0" w:color="auto"/>
            </w:tcBorders>
            <w:shd w:val="clear" w:color="auto" w:fill="auto"/>
            <w:noWrap/>
            <w:vAlign w:val="bottom"/>
            <w:hideMark/>
          </w:tcPr>
          <w:p w14:paraId="2177CB1E"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Tabasco </w:t>
            </w:r>
          </w:p>
        </w:tc>
        <w:tc>
          <w:tcPr>
            <w:tcW w:w="857" w:type="dxa"/>
            <w:tcBorders>
              <w:top w:val="nil"/>
              <w:left w:val="nil"/>
              <w:bottom w:val="nil"/>
              <w:right w:val="nil"/>
            </w:tcBorders>
            <w:shd w:val="clear" w:color="auto" w:fill="auto"/>
            <w:noWrap/>
            <w:vAlign w:val="bottom"/>
            <w:hideMark/>
          </w:tcPr>
          <w:p w14:paraId="0BB7EF21"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2.17 </w:t>
            </w:r>
          </w:p>
        </w:tc>
        <w:tc>
          <w:tcPr>
            <w:tcW w:w="642" w:type="dxa"/>
            <w:tcBorders>
              <w:top w:val="nil"/>
              <w:left w:val="nil"/>
              <w:bottom w:val="nil"/>
              <w:right w:val="nil"/>
            </w:tcBorders>
            <w:shd w:val="clear" w:color="auto" w:fill="auto"/>
            <w:noWrap/>
            <w:vAlign w:val="bottom"/>
            <w:hideMark/>
          </w:tcPr>
          <w:p w14:paraId="2A5D856E"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18.16 </w:t>
            </w:r>
          </w:p>
        </w:tc>
        <w:tc>
          <w:tcPr>
            <w:tcW w:w="1484" w:type="dxa"/>
            <w:tcBorders>
              <w:top w:val="nil"/>
              <w:left w:val="nil"/>
              <w:bottom w:val="nil"/>
              <w:right w:val="single" w:sz="4" w:space="0" w:color="auto"/>
            </w:tcBorders>
            <w:shd w:val="clear" w:color="auto" w:fill="auto"/>
            <w:noWrap/>
            <w:vAlign w:val="bottom"/>
            <w:hideMark/>
          </w:tcPr>
          <w:p w14:paraId="60D48887"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46,218.00 </w:t>
            </w:r>
          </w:p>
        </w:tc>
        <w:tc>
          <w:tcPr>
            <w:tcW w:w="523" w:type="dxa"/>
            <w:tcBorders>
              <w:top w:val="nil"/>
              <w:left w:val="nil"/>
              <w:bottom w:val="nil"/>
              <w:right w:val="nil"/>
            </w:tcBorders>
            <w:shd w:val="clear" w:color="auto" w:fill="auto"/>
            <w:noWrap/>
            <w:vAlign w:val="bottom"/>
            <w:hideMark/>
          </w:tcPr>
          <w:p w14:paraId="54868C64"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1.91 </w:t>
            </w:r>
          </w:p>
        </w:tc>
        <w:tc>
          <w:tcPr>
            <w:tcW w:w="642" w:type="dxa"/>
            <w:tcBorders>
              <w:top w:val="nil"/>
              <w:left w:val="nil"/>
              <w:bottom w:val="nil"/>
              <w:right w:val="nil"/>
            </w:tcBorders>
            <w:shd w:val="clear" w:color="auto" w:fill="auto"/>
            <w:noWrap/>
            <w:vAlign w:val="bottom"/>
            <w:hideMark/>
          </w:tcPr>
          <w:p w14:paraId="48C4C101"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12.59 </w:t>
            </w:r>
          </w:p>
        </w:tc>
        <w:tc>
          <w:tcPr>
            <w:tcW w:w="1330" w:type="dxa"/>
            <w:tcBorders>
              <w:top w:val="nil"/>
              <w:left w:val="nil"/>
              <w:bottom w:val="nil"/>
              <w:right w:val="single" w:sz="4" w:space="0" w:color="auto"/>
            </w:tcBorders>
            <w:shd w:val="clear" w:color="auto" w:fill="auto"/>
            <w:noWrap/>
            <w:vAlign w:val="bottom"/>
            <w:hideMark/>
          </w:tcPr>
          <w:p w14:paraId="3F2D13B0"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39,837.00 </w:t>
            </w:r>
          </w:p>
        </w:tc>
      </w:tr>
      <w:tr w:rsidR="00461D21" w:rsidRPr="007E5F5E" w14:paraId="42AE06B1" w14:textId="77777777" w:rsidTr="00371786">
        <w:trPr>
          <w:trHeight w:val="300"/>
          <w:jc w:val="center"/>
        </w:trPr>
        <w:tc>
          <w:tcPr>
            <w:tcW w:w="2120" w:type="dxa"/>
            <w:tcBorders>
              <w:top w:val="nil"/>
              <w:left w:val="single" w:sz="4" w:space="0" w:color="auto"/>
              <w:bottom w:val="nil"/>
              <w:right w:val="single" w:sz="4" w:space="0" w:color="auto"/>
            </w:tcBorders>
            <w:shd w:val="clear" w:color="auto" w:fill="auto"/>
            <w:noWrap/>
            <w:vAlign w:val="bottom"/>
            <w:hideMark/>
          </w:tcPr>
          <w:p w14:paraId="57AD5696"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Tamaulipas </w:t>
            </w:r>
          </w:p>
        </w:tc>
        <w:tc>
          <w:tcPr>
            <w:tcW w:w="857" w:type="dxa"/>
            <w:tcBorders>
              <w:top w:val="nil"/>
              <w:left w:val="nil"/>
              <w:bottom w:val="nil"/>
              <w:right w:val="nil"/>
            </w:tcBorders>
            <w:shd w:val="clear" w:color="auto" w:fill="auto"/>
            <w:noWrap/>
            <w:vAlign w:val="bottom"/>
            <w:hideMark/>
          </w:tcPr>
          <w:p w14:paraId="2FDFA3DE"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2.22 </w:t>
            </w:r>
          </w:p>
        </w:tc>
        <w:tc>
          <w:tcPr>
            <w:tcW w:w="642" w:type="dxa"/>
            <w:tcBorders>
              <w:top w:val="nil"/>
              <w:left w:val="nil"/>
              <w:bottom w:val="nil"/>
              <w:right w:val="nil"/>
            </w:tcBorders>
            <w:shd w:val="clear" w:color="auto" w:fill="auto"/>
            <w:noWrap/>
            <w:vAlign w:val="bottom"/>
            <w:hideMark/>
          </w:tcPr>
          <w:p w14:paraId="319E3A4A"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17.45 </w:t>
            </w:r>
          </w:p>
        </w:tc>
        <w:tc>
          <w:tcPr>
            <w:tcW w:w="1484" w:type="dxa"/>
            <w:tcBorders>
              <w:top w:val="nil"/>
              <w:left w:val="nil"/>
              <w:bottom w:val="nil"/>
              <w:right w:val="single" w:sz="4" w:space="0" w:color="auto"/>
            </w:tcBorders>
            <w:shd w:val="clear" w:color="auto" w:fill="auto"/>
            <w:noWrap/>
            <w:vAlign w:val="bottom"/>
            <w:hideMark/>
          </w:tcPr>
          <w:p w14:paraId="1E2EFD08"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63,196.00 </w:t>
            </w:r>
          </w:p>
        </w:tc>
        <w:tc>
          <w:tcPr>
            <w:tcW w:w="523" w:type="dxa"/>
            <w:tcBorders>
              <w:top w:val="nil"/>
              <w:left w:val="nil"/>
              <w:bottom w:val="nil"/>
              <w:right w:val="nil"/>
            </w:tcBorders>
            <w:shd w:val="clear" w:color="auto" w:fill="auto"/>
            <w:noWrap/>
            <w:vAlign w:val="bottom"/>
            <w:hideMark/>
          </w:tcPr>
          <w:p w14:paraId="0BADCEB6"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1.94 </w:t>
            </w:r>
          </w:p>
        </w:tc>
        <w:tc>
          <w:tcPr>
            <w:tcW w:w="642" w:type="dxa"/>
            <w:tcBorders>
              <w:top w:val="nil"/>
              <w:left w:val="nil"/>
              <w:bottom w:val="nil"/>
              <w:right w:val="nil"/>
            </w:tcBorders>
            <w:shd w:val="clear" w:color="auto" w:fill="auto"/>
            <w:noWrap/>
            <w:vAlign w:val="bottom"/>
            <w:hideMark/>
          </w:tcPr>
          <w:p w14:paraId="25DFD570"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12.73 </w:t>
            </w:r>
          </w:p>
        </w:tc>
        <w:tc>
          <w:tcPr>
            <w:tcW w:w="1330" w:type="dxa"/>
            <w:tcBorders>
              <w:top w:val="nil"/>
              <w:left w:val="nil"/>
              <w:bottom w:val="nil"/>
              <w:right w:val="single" w:sz="4" w:space="0" w:color="auto"/>
            </w:tcBorders>
            <w:shd w:val="clear" w:color="auto" w:fill="auto"/>
            <w:noWrap/>
            <w:vAlign w:val="bottom"/>
            <w:hideMark/>
          </w:tcPr>
          <w:p w14:paraId="170C01CE"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53,863.00 </w:t>
            </w:r>
          </w:p>
        </w:tc>
      </w:tr>
      <w:tr w:rsidR="00461D21" w:rsidRPr="007E5F5E" w14:paraId="3361D6A9" w14:textId="77777777" w:rsidTr="00371786">
        <w:trPr>
          <w:trHeight w:val="300"/>
          <w:jc w:val="center"/>
        </w:trPr>
        <w:tc>
          <w:tcPr>
            <w:tcW w:w="2120" w:type="dxa"/>
            <w:tcBorders>
              <w:top w:val="nil"/>
              <w:left w:val="single" w:sz="4" w:space="0" w:color="auto"/>
              <w:bottom w:val="nil"/>
              <w:right w:val="single" w:sz="4" w:space="0" w:color="auto"/>
            </w:tcBorders>
            <w:shd w:val="clear" w:color="auto" w:fill="auto"/>
            <w:noWrap/>
            <w:vAlign w:val="bottom"/>
            <w:hideMark/>
          </w:tcPr>
          <w:p w14:paraId="29437963"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Tlaxcala </w:t>
            </w:r>
          </w:p>
        </w:tc>
        <w:tc>
          <w:tcPr>
            <w:tcW w:w="857" w:type="dxa"/>
            <w:tcBorders>
              <w:top w:val="nil"/>
              <w:left w:val="nil"/>
              <w:bottom w:val="nil"/>
              <w:right w:val="nil"/>
            </w:tcBorders>
            <w:shd w:val="clear" w:color="auto" w:fill="auto"/>
            <w:noWrap/>
            <w:vAlign w:val="bottom"/>
            <w:hideMark/>
          </w:tcPr>
          <w:p w14:paraId="1C949093"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2.09 </w:t>
            </w:r>
          </w:p>
        </w:tc>
        <w:tc>
          <w:tcPr>
            <w:tcW w:w="642" w:type="dxa"/>
            <w:tcBorders>
              <w:top w:val="nil"/>
              <w:left w:val="nil"/>
              <w:bottom w:val="nil"/>
              <w:right w:val="nil"/>
            </w:tcBorders>
            <w:shd w:val="clear" w:color="auto" w:fill="auto"/>
            <w:noWrap/>
            <w:vAlign w:val="bottom"/>
            <w:hideMark/>
          </w:tcPr>
          <w:p w14:paraId="0A7B276E"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17.73 </w:t>
            </w:r>
          </w:p>
        </w:tc>
        <w:tc>
          <w:tcPr>
            <w:tcW w:w="1484" w:type="dxa"/>
            <w:tcBorders>
              <w:top w:val="nil"/>
              <w:left w:val="nil"/>
              <w:bottom w:val="nil"/>
              <w:right w:val="single" w:sz="4" w:space="0" w:color="auto"/>
            </w:tcBorders>
            <w:shd w:val="clear" w:color="auto" w:fill="auto"/>
            <w:noWrap/>
            <w:vAlign w:val="bottom"/>
            <w:hideMark/>
          </w:tcPr>
          <w:p w14:paraId="31A45A23"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24,189.00 </w:t>
            </w:r>
          </w:p>
        </w:tc>
        <w:tc>
          <w:tcPr>
            <w:tcW w:w="523" w:type="dxa"/>
            <w:tcBorders>
              <w:top w:val="nil"/>
              <w:left w:val="nil"/>
              <w:bottom w:val="nil"/>
              <w:right w:val="nil"/>
            </w:tcBorders>
            <w:shd w:val="clear" w:color="auto" w:fill="auto"/>
            <w:noWrap/>
            <w:vAlign w:val="bottom"/>
            <w:hideMark/>
          </w:tcPr>
          <w:p w14:paraId="0922CCE1"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1.70 </w:t>
            </w:r>
          </w:p>
        </w:tc>
        <w:tc>
          <w:tcPr>
            <w:tcW w:w="642" w:type="dxa"/>
            <w:tcBorders>
              <w:top w:val="nil"/>
              <w:left w:val="nil"/>
              <w:bottom w:val="nil"/>
              <w:right w:val="nil"/>
            </w:tcBorders>
            <w:shd w:val="clear" w:color="auto" w:fill="auto"/>
            <w:noWrap/>
            <w:vAlign w:val="bottom"/>
            <w:hideMark/>
          </w:tcPr>
          <w:p w14:paraId="171A9740"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11.27 </w:t>
            </w:r>
          </w:p>
        </w:tc>
        <w:tc>
          <w:tcPr>
            <w:tcW w:w="1330" w:type="dxa"/>
            <w:tcBorders>
              <w:top w:val="nil"/>
              <w:left w:val="nil"/>
              <w:bottom w:val="nil"/>
              <w:right w:val="single" w:sz="4" w:space="0" w:color="auto"/>
            </w:tcBorders>
            <w:shd w:val="clear" w:color="auto" w:fill="auto"/>
            <w:noWrap/>
            <w:vAlign w:val="bottom"/>
            <w:hideMark/>
          </w:tcPr>
          <w:p w14:paraId="72293EF9"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18,978.00 </w:t>
            </w:r>
          </w:p>
        </w:tc>
      </w:tr>
      <w:tr w:rsidR="00461D21" w:rsidRPr="007E5F5E" w14:paraId="1CC87387" w14:textId="77777777" w:rsidTr="00371786">
        <w:trPr>
          <w:trHeight w:val="300"/>
          <w:jc w:val="center"/>
        </w:trPr>
        <w:tc>
          <w:tcPr>
            <w:tcW w:w="2120" w:type="dxa"/>
            <w:tcBorders>
              <w:top w:val="nil"/>
              <w:left w:val="single" w:sz="4" w:space="0" w:color="auto"/>
              <w:bottom w:val="nil"/>
              <w:right w:val="single" w:sz="4" w:space="0" w:color="auto"/>
            </w:tcBorders>
            <w:shd w:val="clear" w:color="auto" w:fill="auto"/>
            <w:noWrap/>
            <w:vAlign w:val="bottom"/>
            <w:hideMark/>
          </w:tcPr>
          <w:p w14:paraId="4B74E324"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Veracruz </w:t>
            </w:r>
          </w:p>
        </w:tc>
        <w:tc>
          <w:tcPr>
            <w:tcW w:w="857" w:type="dxa"/>
            <w:tcBorders>
              <w:top w:val="nil"/>
              <w:left w:val="nil"/>
              <w:bottom w:val="nil"/>
              <w:right w:val="nil"/>
            </w:tcBorders>
            <w:shd w:val="clear" w:color="auto" w:fill="auto"/>
            <w:noWrap/>
            <w:vAlign w:val="bottom"/>
            <w:hideMark/>
          </w:tcPr>
          <w:p w14:paraId="5E3ABC6F"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2.06 </w:t>
            </w:r>
          </w:p>
        </w:tc>
        <w:tc>
          <w:tcPr>
            <w:tcW w:w="642" w:type="dxa"/>
            <w:tcBorders>
              <w:top w:val="nil"/>
              <w:left w:val="nil"/>
              <w:bottom w:val="nil"/>
              <w:right w:val="nil"/>
            </w:tcBorders>
            <w:shd w:val="clear" w:color="auto" w:fill="auto"/>
            <w:noWrap/>
            <w:vAlign w:val="bottom"/>
            <w:hideMark/>
          </w:tcPr>
          <w:p w14:paraId="0E5BDECC"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16.53 </w:t>
            </w:r>
          </w:p>
        </w:tc>
        <w:tc>
          <w:tcPr>
            <w:tcW w:w="1484" w:type="dxa"/>
            <w:tcBorders>
              <w:top w:val="nil"/>
              <w:left w:val="nil"/>
              <w:bottom w:val="nil"/>
              <w:right w:val="single" w:sz="4" w:space="0" w:color="auto"/>
            </w:tcBorders>
            <w:shd w:val="clear" w:color="auto" w:fill="auto"/>
            <w:noWrap/>
            <w:vAlign w:val="bottom"/>
            <w:hideMark/>
          </w:tcPr>
          <w:p w14:paraId="757EDDDF"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140,323.00 </w:t>
            </w:r>
          </w:p>
        </w:tc>
        <w:tc>
          <w:tcPr>
            <w:tcW w:w="523" w:type="dxa"/>
            <w:tcBorders>
              <w:top w:val="nil"/>
              <w:left w:val="nil"/>
              <w:bottom w:val="nil"/>
              <w:right w:val="nil"/>
            </w:tcBorders>
            <w:shd w:val="clear" w:color="auto" w:fill="auto"/>
            <w:noWrap/>
            <w:vAlign w:val="bottom"/>
            <w:hideMark/>
          </w:tcPr>
          <w:p w14:paraId="1F12A2D5"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1.71 </w:t>
            </w:r>
          </w:p>
        </w:tc>
        <w:tc>
          <w:tcPr>
            <w:tcW w:w="642" w:type="dxa"/>
            <w:tcBorders>
              <w:top w:val="nil"/>
              <w:left w:val="nil"/>
              <w:bottom w:val="nil"/>
              <w:right w:val="nil"/>
            </w:tcBorders>
            <w:shd w:val="clear" w:color="auto" w:fill="auto"/>
            <w:noWrap/>
            <w:vAlign w:val="bottom"/>
            <w:hideMark/>
          </w:tcPr>
          <w:p w14:paraId="28FD91BC"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10.94 </w:t>
            </w:r>
          </w:p>
        </w:tc>
        <w:tc>
          <w:tcPr>
            <w:tcW w:w="1330" w:type="dxa"/>
            <w:tcBorders>
              <w:top w:val="nil"/>
              <w:left w:val="nil"/>
              <w:bottom w:val="nil"/>
              <w:right w:val="single" w:sz="4" w:space="0" w:color="auto"/>
            </w:tcBorders>
            <w:shd w:val="clear" w:color="auto" w:fill="auto"/>
            <w:noWrap/>
            <w:vAlign w:val="bottom"/>
            <w:hideMark/>
          </w:tcPr>
          <w:p w14:paraId="22CC904C"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97,692.00 </w:t>
            </w:r>
          </w:p>
        </w:tc>
      </w:tr>
      <w:tr w:rsidR="00461D21" w:rsidRPr="007E5F5E" w14:paraId="6BF12BB3" w14:textId="77777777" w:rsidTr="00371786">
        <w:trPr>
          <w:trHeight w:val="300"/>
          <w:jc w:val="center"/>
        </w:trPr>
        <w:tc>
          <w:tcPr>
            <w:tcW w:w="2120" w:type="dxa"/>
            <w:tcBorders>
              <w:top w:val="nil"/>
              <w:left w:val="single" w:sz="4" w:space="0" w:color="auto"/>
              <w:bottom w:val="nil"/>
              <w:right w:val="single" w:sz="4" w:space="0" w:color="auto"/>
            </w:tcBorders>
            <w:shd w:val="clear" w:color="auto" w:fill="auto"/>
            <w:noWrap/>
            <w:vAlign w:val="bottom"/>
            <w:hideMark/>
          </w:tcPr>
          <w:p w14:paraId="5104B332"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Yucatán </w:t>
            </w:r>
          </w:p>
        </w:tc>
        <w:tc>
          <w:tcPr>
            <w:tcW w:w="857" w:type="dxa"/>
            <w:tcBorders>
              <w:top w:val="nil"/>
              <w:left w:val="nil"/>
              <w:bottom w:val="nil"/>
              <w:right w:val="nil"/>
            </w:tcBorders>
            <w:shd w:val="clear" w:color="auto" w:fill="auto"/>
            <w:noWrap/>
            <w:vAlign w:val="bottom"/>
            <w:hideMark/>
          </w:tcPr>
          <w:p w14:paraId="3C5B64FF"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1.89 </w:t>
            </w:r>
          </w:p>
        </w:tc>
        <w:tc>
          <w:tcPr>
            <w:tcW w:w="642" w:type="dxa"/>
            <w:tcBorders>
              <w:top w:val="nil"/>
              <w:left w:val="nil"/>
              <w:bottom w:val="nil"/>
              <w:right w:val="nil"/>
            </w:tcBorders>
            <w:shd w:val="clear" w:color="auto" w:fill="auto"/>
            <w:noWrap/>
            <w:vAlign w:val="bottom"/>
            <w:hideMark/>
          </w:tcPr>
          <w:p w14:paraId="193E70B1"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15.85 </w:t>
            </w:r>
          </w:p>
        </w:tc>
        <w:tc>
          <w:tcPr>
            <w:tcW w:w="1484" w:type="dxa"/>
            <w:tcBorders>
              <w:top w:val="nil"/>
              <w:left w:val="nil"/>
              <w:bottom w:val="nil"/>
              <w:right w:val="single" w:sz="4" w:space="0" w:color="auto"/>
            </w:tcBorders>
            <w:shd w:val="clear" w:color="auto" w:fill="auto"/>
            <w:noWrap/>
            <w:vAlign w:val="bottom"/>
            <w:hideMark/>
          </w:tcPr>
          <w:p w14:paraId="0B75F8EA"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35,403.00 </w:t>
            </w:r>
          </w:p>
        </w:tc>
        <w:tc>
          <w:tcPr>
            <w:tcW w:w="523" w:type="dxa"/>
            <w:tcBorders>
              <w:top w:val="nil"/>
              <w:left w:val="nil"/>
              <w:bottom w:val="nil"/>
              <w:right w:val="nil"/>
            </w:tcBorders>
            <w:shd w:val="clear" w:color="auto" w:fill="auto"/>
            <w:noWrap/>
            <w:vAlign w:val="bottom"/>
            <w:hideMark/>
          </w:tcPr>
          <w:p w14:paraId="47DAEED7"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1.61 </w:t>
            </w:r>
          </w:p>
        </w:tc>
        <w:tc>
          <w:tcPr>
            <w:tcW w:w="642" w:type="dxa"/>
            <w:tcBorders>
              <w:top w:val="nil"/>
              <w:left w:val="nil"/>
              <w:bottom w:val="nil"/>
              <w:right w:val="nil"/>
            </w:tcBorders>
            <w:shd w:val="clear" w:color="auto" w:fill="auto"/>
            <w:noWrap/>
            <w:vAlign w:val="bottom"/>
            <w:hideMark/>
          </w:tcPr>
          <w:p w14:paraId="35099309"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10.30 </w:t>
            </w:r>
          </w:p>
        </w:tc>
        <w:tc>
          <w:tcPr>
            <w:tcW w:w="1330" w:type="dxa"/>
            <w:tcBorders>
              <w:top w:val="nil"/>
              <w:left w:val="nil"/>
              <w:bottom w:val="nil"/>
              <w:right w:val="single" w:sz="4" w:space="0" w:color="auto"/>
            </w:tcBorders>
            <w:shd w:val="clear" w:color="auto" w:fill="auto"/>
            <w:noWrap/>
            <w:vAlign w:val="bottom"/>
            <w:hideMark/>
          </w:tcPr>
          <w:p w14:paraId="4B5A8D72"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28,701.00 </w:t>
            </w:r>
          </w:p>
        </w:tc>
      </w:tr>
      <w:tr w:rsidR="00461D21" w:rsidRPr="007E5F5E" w14:paraId="08F63828" w14:textId="77777777" w:rsidTr="00371786">
        <w:trPr>
          <w:trHeight w:val="300"/>
          <w:jc w:val="center"/>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1E265157"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Zacatecas </w:t>
            </w:r>
          </w:p>
        </w:tc>
        <w:tc>
          <w:tcPr>
            <w:tcW w:w="857" w:type="dxa"/>
            <w:tcBorders>
              <w:top w:val="nil"/>
              <w:left w:val="nil"/>
              <w:bottom w:val="single" w:sz="4" w:space="0" w:color="auto"/>
              <w:right w:val="nil"/>
            </w:tcBorders>
            <w:shd w:val="clear" w:color="auto" w:fill="auto"/>
            <w:noWrap/>
            <w:vAlign w:val="bottom"/>
            <w:hideMark/>
          </w:tcPr>
          <w:p w14:paraId="3F0B2BE1"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2.38 </w:t>
            </w:r>
          </w:p>
        </w:tc>
        <w:tc>
          <w:tcPr>
            <w:tcW w:w="642" w:type="dxa"/>
            <w:tcBorders>
              <w:top w:val="nil"/>
              <w:left w:val="nil"/>
              <w:bottom w:val="single" w:sz="4" w:space="0" w:color="auto"/>
              <w:right w:val="nil"/>
            </w:tcBorders>
            <w:shd w:val="clear" w:color="auto" w:fill="auto"/>
            <w:noWrap/>
            <w:vAlign w:val="bottom"/>
            <w:hideMark/>
          </w:tcPr>
          <w:p w14:paraId="2A9F3633"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19.02 </w:t>
            </w:r>
          </w:p>
        </w:tc>
        <w:tc>
          <w:tcPr>
            <w:tcW w:w="1484" w:type="dxa"/>
            <w:tcBorders>
              <w:top w:val="nil"/>
              <w:left w:val="nil"/>
              <w:bottom w:val="single" w:sz="4" w:space="0" w:color="auto"/>
              <w:right w:val="single" w:sz="4" w:space="0" w:color="auto"/>
            </w:tcBorders>
            <w:shd w:val="clear" w:color="auto" w:fill="auto"/>
            <w:noWrap/>
            <w:vAlign w:val="bottom"/>
            <w:hideMark/>
          </w:tcPr>
          <w:p w14:paraId="38EF05BD"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31,473.00 </w:t>
            </w:r>
          </w:p>
        </w:tc>
        <w:tc>
          <w:tcPr>
            <w:tcW w:w="523" w:type="dxa"/>
            <w:tcBorders>
              <w:top w:val="nil"/>
              <w:left w:val="nil"/>
              <w:bottom w:val="single" w:sz="4" w:space="0" w:color="auto"/>
              <w:right w:val="nil"/>
            </w:tcBorders>
            <w:shd w:val="clear" w:color="auto" w:fill="auto"/>
            <w:noWrap/>
            <w:vAlign w:val="bottom"/>
            <w:hideMark/>
          </w:tcPr>
          <w:p w14:paraId="44BBFAE0"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1.88 </w:t>
            </w:r>
          </w:p>
        </w:tc>
        <w:tc>
          <w:tcPr>
            <w:tcW w:w="642" w:type="dxa"/>
            <w:tcBorders>
              <w:top w:val="nil"/>
              <w:left w:val="nil"/>
              <w:bottom w:val="single" w:sz="4" w:space="0" w:color="auto"/>
              <w:right w:val="nil"/>
            </w:tcBorders>
            <w:shd w:val="clear" w:color="auto" w:fill="auto"/>
            <w:noWrap/>
            <w:vAlign w:val="bottom"/>
            <w:hideMark/>
          </w:tcPr>
          <w:p w14:paraId="7A944DB2"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12.94 </w:t>
            </w:r>
          </w:p>
        </w:tc>
        <w:tc>
          <w:tcPr>
            <w:tcW w:w="1330" w:type="dxa"/>
            <w:tcBorders>
              <w:top w:val="nil"/>
              <w:left w:val="nil"/>
              <w:bottom w:val="single" w:sz="4" w:space="0" w:color="auto"/>
              <w:right w:val="single" w:sz="4" w:space="0" w:color="auto"/>
            </w:tcBorders>
            <w:shd w:val="clear" w:color="auto" w:fill="auto"/>
            <w:noWrap/>
            <w:vAlign w:val="bottom"/>
            <w:hideMark/>
          </w:tcPr>
          <w:p w14:paraId="26759C34" w14:textId="77777777" w:rsidR="00461D21" w:rsidRPr="007E5F5E" w:rsidRDefault="00461D21" w:rsidP="000F6F1D">
            <w:pPr>
              <w:spacing w:after="0" w:line="240" w:lineRule="auto"/>
              <w:rPr>
                <w:rFonts w:ascii="Arial" w:eastAsia="Times New Roman" w:hAnsi="Arial" w:cs="Arial"/>
                <w:color w:val="000000"/>
                <w:sz w:val="20"/>
                <w:szCs w:val="20"/>
                <w:lang w:eastAsia="es-MX"/>
              </w:rPr>
            </w:pPr>
            <w:r w:rsidRPr="007E5F5E">
              <w:rPr>
                <w:rFonts w:ascii="Arial" w:eastAsia="Times New Roman" w:hAnsi="Arial" w:cs="Arial"/>
                <w:color w:val="000000"/>
                <w:sz w:val="20"/>
                <w:szCs w:val="20"/>
                <w:lang w:eastAsia="es-MX"/>
              </w:rPr>
              <w:t xml:space="preserve">     24,343.00 </w:t>
            </w:r>
          </w:p>
        </w:tc>
      </w:tr>
    </w:tbl>
    <w:p w14:paraId="68D51206" w14:textId="0CB534F8" w:rsidR="00461D21" w:rsidRDefault="00461D21" w:rsidP="00461D21">
      <w:pPr>
        <w:spacing w:line="360" w:lineRule="auto"/>
        <w:ind w:firstLine="708"/>
        <w:jc w:val="both"/>
        <w:rPr>
          <w:rFonts w:ascii="Arial" w:hAnsi="Arial" w:cs="Arial"/>
        </w:rPr>
      </w:pPr>
      <w:r w:rsidRPr="007E5F5E">
        <w:rPr>
          <w:rFonts w:ascii="Arial" w:hAnsi="Arial" w:cs="Arial"/>
          <w:sz w:val="18"/>
        </w:rPr>
        <w:t xml:space="preserve"> </w:t>
      </w:r>
      <w:r w:rsidR="000C49BF">
        <w:rPr>
          <w:rFonts w:ascii="Arial" w:hAnsi="Arial" w:cs="Arial"/>
          <w:sz w:val="18"/>
        </w:rPr>
        <w:t xml:space="preserve">                              </w:t>
      </w:r>
      <w:r w:rsidRPr="007E5F5E">
        <w:rPr>
          <w:rFonts w:ascii="Arial" w:hAnsi="Arial" w:cs="Arial"/>
          <w:b/>
          <w:sz w:val="18"/>
        </w:rPr>
        <w:t>Fuente:</w:t>
      </w:r>
      <w:r w:rsidRPr="007E5F5E">
        <w:rPr>
          <w:rFonts w:ascii="Arial" w:hAnsi="Arial" w:cs="Arial"/>
          <w:sz w:val="18"/>
        </w:rPr>
        <w:t xml:space="preserve"> Elaboración propia con base en CONAPO (2008).</w:t>
      </w:r>
    </w:p>
    <w:p w14:paraId="5121528F" w14:textId="77777777" w:rsidR="00461D21" w:rsidRDefault="00461D21" w:rsidP="00461D21">
      <w:pPr>
        <w:spacing w:line="360" w:lineRule="auto"/>
        <w:jc w:val="both"/>
        <w:rPr>
          <w:rFonts w:ascii="Arial" w:hAnsi="Arial" w:cs="Arial"/>
        </w:rPr>
      </w:pPr>
      <w:r>
        <w:rPr>
          <w:rFonts w:ascii="Arial" w:hAnsi="Arial" w:cs="Arial"/>
        </w:rPr>
        <w:t xml:space="preserve">Aunado a lo anterior, al interior de cada una de las entidades, los eventos vitales fluctúan considerablemente, dado los </w:t>
      </w:r>
      <w:r w:rsidRPr="009C21F1">
        <w:rPr>
          <w:rFonts w:ascii="Arial" w:hAnsi="Arial" w:cs="Arial"/>
        </w:rPr>
        <w:t>factores sociodemográficos, socioeconómicos, educativos y de salud.</w:t>
      </w:r>
      <w:r>
        <w:rPr>
          <w:rFonts w:ascii="Arial" w:hAnsi="Arial" w:cs="Arial"/>
        </w:rPr>
        <w:t xml:space="preserve"> Al respecto, las zonas metropolitanas del país merecen especial atención, </w:t>
      </w:r>
      <w:r w:rsidRPr="00611260">
        <w:rPr>
          <w:rFonts w:ascii="Arial" w:hAnsi="Arial" w:cs="Arial"/>
        </w:rPr>
        <w:t>ya que, además de ser el corazón político y económico de una vasta región, se ha</w:t>
      </w:r>
      <w:r>
        <w:rPr>
          <w:rFonts w:ascii="Arial" w:hAnsi="Arial" w:cs="Arial"/>
        </w:rPr>
        <w:t>n</w:t>
      </w:r>
      <w:r w:rsidRPr="00611260">
        <w:rPr>
          <w:rFonts w:ascii="Arial" w:hAnsi="Arial" w:cs="Arial"/>
        </w:rPr>
        <w:t xml:space="preserve"> consolidado </w:t>
      </w:r>
      <w:r w:rsidRPr="00611260">
        <w:rPr>
          <w:rFonts w:ascii="Arial" w:hAnsi="Arial" w:cs="Arial"/>
        </w:rPr>
        <w:lastRenderedPageBreak/>
        <w:t>como la</w:t>
      </w:r>
      <w:r>
        <w:rPr>
          <w:rFonts w:ascii="Arial" w:hAnsi="Arial" w:cs="Arial"/>
        </w:rPr>
        <w:t>s</w:t>
      </w:r>
      <w:r w:rsidRPr="00611260">
        <w:rPr>
          <w:rFonts w:ascii="Arial" w:hAnsi="Arial" w:cs="Arial"/>
        </w:rPr>
        <w:t xml:space="preserve"> principal</w:t>
      </w:r>
      <w:r>
        <w:rPr>
          <w:rFonts w:ascii="Arial" w:hAnsi="Arial" w:cs="Arial"/>
        </w:rPr>
        <w:t>es</w:t>
      </w:r>
      <w:r w:rsidRPr="00611260">
        <w:rPr>
          <w:rFonts w:ascii="Arial" w:hAnsi="Arial" w:cs="Arial"/>
        </w:rPr>
        <w:t xml:space="preserve"> urbe</w:t>
      </w:r>
      <w:r>
        <w:rPr>
          <w:rFonts w:ascii="Arial" w:hAnsi="Arial" w:cs="Arial"/>
        </w:rPr>
        <w:t>s</w:t>
      </w:r>
      <w:r w:rsidRPr="00611260">
        <w:rPr>
          <w:rFonts w:ascii="Arial" w:hAnsi="Arial" w:cs="Arial"/>
        </w:rPr>
        <w:t xml:space="preserve"> del país</w:t>
      </w:r>
      <w:r>
        <w:rPr>
          <w:rFonts w:ascii="Arial" w:hAnsi="Arial" w:cs="Arial"/>
        </w:rPr>
        <w:t xml:space="preserve">, de las más pobladas y mayor concentración de servicios sociales y recursos económicos. Muestra de lo anterior es la dinámica y coyuntura sociodemográfica de la Zona Metropolitana de la Ciudad de México (ZMCM). En 2015, la población de la metrópoli fue de 20.8 millones de habitantes; su </w:t>
      </w:r>
      <w:r w:rsidRPr="00611260">
        <w:rPr>
          <w:rFonts w:ascii="Arial" w:hAnsi="Arial" w:cs="Arial"/>
        </w:rPr>
        <w:t>estructura etaria representa una población regresiva, en la cual existe una clara tendencia al envejecimiento y una considerable disminución de la natalidad</w:t>
      </w:r>
      <w:r>
        <w:rPr>
          <w:rStyle w:val="Refdenotaalpie"/>
          <w:rFonts w:ascii="Arial" w:hAnsi="Arial" w:cs="Arial"/>
        </w:rPr>
        <w:footnoteReference w:id="14"/>
      </w:r>
      <w:r w:rsidRPr="00611260">
        <w:rPr>
          <w:rFonts w:ascii="Arial" w:hAnsi="Arial" w:cs="Arial"/>
        </w:rPr>
        <w:t>. Específicamente, el grupo poblacional más joven (0-19 años) constituye 31% de la población en la metrópoli</w:t>
      </w:r>
      <w:r>
        <w:rPr>
          <w:rStyle w:val="Refdenotaalpie"/>
          <w:rFonts w:ascii="Arial" w:hAnsi="Arial" w:cs="Arial"/>
        </w:rPr>
        <w:footnoteReference w:id="15"/>
      </w:r>
      <w:r>
        <w:rPr>
          <w:rFonts w:ascii="Arial" w:hAnsi="Arial" w:cs="Arial"/>
        </w:rPr>
        <w:t xml:space="preserve">. </w:t>
      </w:r>
    </w:p>
    <w:p w14:paraId="066924C0" w14:textId="77777777" w:rsidR="00461D21" w:rsidRDefault="00461D21" w:rsidP="00461D21">
      <w:pPr>
        <w:spacing w:line="360" w:lineRule="auto"/>
        <w:jc w:val="both"/>
        <w:rPr>
          <w:rFonts w:ascii="Arial" w:hAnsi="Arial" w:cs="Arial"/>
        </w:rPr>
      </w:pPr>
      <w:r>
        <w:rPr>
          <w:rFonts w:ascii="Arial" w:hAnsi="Arial" w:cs="Arial"/>
        </w:rPr>
        <w:t>A</w:t>
      </w:r>
      <w:r w:rsidRPr="00611260">
        <w:rPr>
          <w:rFonts w:ascii="Arial" w:hAnsi="Arial" w:cs="Arial"/>
        </w:rPr>
        <w:t>l interior de la</w:t>
      </w:r>
      <w:r>
        <w:rPr>
          <w:rFonts w:ascii="Arial" w:hAnsi="Arial" w:cs="Arial"/>
        </w:rPr>
        <w:t xml:space="preserve"> ZMCM</w:t>
      </w:r>
      <w:r w:rsidRPr="00611260">
        <w:rPr>
          <w:rFonts w:ascii="Arial" w:hAnsi="Arial" w:cs="Arial"/>
        </w:rPr>
        <w:t>, las diferencias entre las condiciones socioeconómicas, políticas, de salud y demográficas de los municipios de la Ciudad de México, Estado de México e Hidalgo son lo suficientemente marcadas, revelando así que la mayoría de los municipios metropolitanos han cumplido la función de periferia en las di</w:t>
      </w:r>
      <w:r>
        <w:rPr>
          <w:rFonts w:ascii="Arial" w:hAnsi="Arial" w:cs="Arial"/>
        </w:rPr>
        <w:t>námicas sociodemográficas y de salud</w:t>
      </w:r>
      <w:r>
        <w:rPr>
          <w:rStyle w:val="Refdenotaalpie"/>
          <w:rFonts w:ascii="Arial" w:hAnsi="Arial" w:cs="Arial"/>
        </w:rPr>
        <w:footnoteReference w:id="16"/>
      </w:r>
      <w:r w:rsidRPr="00611260">
        <w:rPr>
          <w:rFonts w:ascii="Arial" w:hAnsi="Arial" w:cs="Arial"/>
        </w:rPr>
        <w:t>. El proceso de metropolización ha incorporado unidades político-administrativas adyacentes como resultado de mecanismos expulsores generados por la propia dinámica económica y social de la ciudad central</w:t>
      </w:r>
      <w:r>
        <w:rPr>
          <w:rStyle w:val="Refdenotaalpie"/>
          <w:rFonts w:ascii="Arial" w:hAnsi="Arial" w:cs="Arial"/>
        </w:rPr>
        <w:footnoteReference w:id="17"/>
      </w:r>
      <w:r w:rsidRPr="00611260">
        <w:rPr>
          <w:rFonts w:ascii="Arial" w:hAnsi="Arial" w:cs="Arial"/>
        </w:rPr>
        <w:t>.</w:t>
      </w:r>
      <w:r>
        <w:rPr>
          <w:rFonts w:ascii="Arial" w:hAnsi="Arial" w:cs="Arial"/>
        </w:rPr>
        <w:t xml:space="preserve"> Muestra de lo anterior es que los nacimientos al interior de la ZMCM se dan de forma heterogénea; en un análisis del lugar de residencia habitual de la madre, para 2017, el municipio con mayor número de eventos vitales fue Ecatepec (19,225 nacimientos), seguido por Iztapalapa (18,123) y Nezahualcóyotl (12,658), de tal forma que los municipios del Estado de México de la metrópoli representan 60.6% de los nacimientos en dicha zona, en cambio, las alcaldías de la Ciudad de México aglomeran 38.7% de dichos eventos. Por lo tanto, la dinámica sociodemográfica de la ZMCM revela una estructura monocéntrica con tendencia al envejecimiento, donde los municipios conurbados muestran una población expansiva (alta natalidad) y, en cambio, las alcaldías centrales en la Ciudad de México muestran una población estacionaria (baja natalidad y tendencia al envejecimiento).</w:t>
      </w:r>
      <w:r w:rsidRPr="00FF78C2">
        <w:rPr>
          <w:rFonts w:ascii="Arial" w:hAnsi="Arial" w:cs="Arial"/>
        </w:rPr>
        <w:t xml:space="preserve"> </w:t>
      </w:r>
    </w:p>
    <w:p w14:paraId="0AB38357" w14:textId="77777777" w:rsidR="00461D21" w:rsidRPr="005B6CA1" w:rsidRDefault="00461D21" w:rsidP="00461D21">
      <w:pPr>
        <w:spacing w:line="360" w:lineRule="auto"/>
        <w:jc w:val="both"/>
        <w:rPr>
          <w:rFonts w:ascii="Arial" w:hAnsi="Arial" w:cs="Arial"/>
        </w:rPr>
      </w:pPr>
      <w:r w:rsidRPr="005B6CA1">
        <w:rPr>
          <w:rFonts w:ascii="Arial" w:hAnsi="Arial" w:cs="Arial"/>
        </w:rPr>
        <w:t>La dinámica de la estructura etaria, por sexos y volumen de la población tanto a nivel nacional, estatal y local, plantean una amplia gama de demandas (educativas, salud, bienestar, etc.), las cuales a su vez requieren cambios en los ámbitos sociales, económicos y de salud</w:t>
      </w:r>
      <w:r w:rsidRPr="005B6CA1">
        <w:rPr>
          <w:rStyle w:val="Refdenotaalpie"/>
          <w:rFonts w:ascii="Arial" w:hAnsi="Arial" w:cs="Arial"/>
        </w:rPr>
        <w:footnoteReference w:id="18"/>
      </w:r>
      <w:r w:rsidRPr="005B6CA1">
        <w:rPr>
          <w:rFonts w:ascii="Arial" w:hAnsi="Arial" w:cs="Arial"/>
        </w:rPr>
        <w:t xml:space="preserve">. La transición demográfica, junto con la epidemiológica, han llevado a una </w:t>
      </w:r>
      <w:r w:rsidRPr="005B6CA1">
        <w:rPr>
          <w:rFonts w:ascii="Arial" w:hAnsi="Arial" w:cs="Arial"/>
        </w:rPr>
        <w:lastRenderedPageBreak/>
        <w:t>rápida tendencia hacia el envejecimiento poblacional del país y de la ZMCM, acompañado de un incremento absoluto y relativo de las enfermedades crónicas degenerativas no transmisibles</w:t>
      </w:r>
      <w:r>
        <w:rPr>
          <w:rFonts w:ascii="Arial" w:hAnsi="Arial" w:cs="Arial"/>
        </w:rPr>
        <w:t xml:space="preserve"> (ECNT)</w:t>
      </w:r>
      <w:r w:rsidRPr="005B6CA1">
        <w:rPr>
          <w:rFonts w:ascii="Arial" w:hAnsi="Arial" w:cs="Arial"/>
        </w:rPr>
        <w:t xml:space="preserve"> en el esquema de morbimortalidad. La creciente complejidad demográfica y de salud plantea la necesidad de crear y expandir programas educativos y de capacitación, con la finalidad de posibilitar e impulsar una adecuada planeación en las políticas públicas y planeación del país y las ciudades, propiciando perspectivas adecuadas en la calidad de vida de la población general, y a su vez, tomando en cuenta las demandas de cada grupo poblacional.</w:t>
      </w:r>
    </w:p>
    <w:p w14:paraId="0EDEB491" w14:textId="5A5493A8" w:rsidR="007F2637" w:rsidRDefault="00461D21" w:rsidP="00461D21">
      <w:pPr>
        <w:spacing w:after="0" w:line="360" w:lineRule="auto"/>
        <w:rPr>
          <w:rFonts w:ascii="Arial" w:hAnsi="Arial" w:cs="Arial"/>
        </w:rPr>
      </w:pPr>
      <w:r w:rsidRPr="005B6CA1">
        <w:rPr>
          <w:rFonts w:ascii="Arial" w:hAnsi="Arial" w:cs="Arial"/>
        </w:rPr>
        <w:t>Una vez resumido el panorama demográfico</w:t>
      </w:r>
      <w:r>
        <w:rPr>
          <w:rFonts w:ascii="Arial" w:hAnsi="Arial" w:cs="Arial"/>
        </w:rPr>
        <w:t xml:space="preserve"> neonatal</w:t>
      </w:r>
      <w:r w:rsidRPr="005B6CA1">
        <w:rPr>
          <w:rFonts w:ascii="Arial" w:hAnsi="Arial" w:cs="Arial"/>
        </w:rPr>
        <w:t xml:space="preserve"> de México, es necesario comprender la dinámica de salud en la población mexicana (perspectiva actual y demandas en salud). Es por eso que el siguiente apartado tiene como objetivo bosquejar el panorama epidemiológico del país, así como la (in)actividad física de la población, en el contexto de la transición en salud.</w:t>
      </w:r>
    </w:p>
    <w:p w14:paraId="79B173C9" w14:textId="77777777" w:rsidR="00461D21" w:rsidRDefault="00461D21" w:rsidP="00461D21">
      <w:pPr>
        <w:spacing w:after="0" w:line="360" w:lineRule="auto"/>
        <w:rPr>
          <w:rFonts w:ascii="Arial" w:hAnsi="Arial" w:cs="Arial"/>
          <w:b/>
        </w:rPr>
      </w:pPr>
    </w:p>
    <w:p w14:paraId="10C1CF88" w14:textId="77777777" w:rsidR="00B350E5" w:rsidRPr="005B6CA1" w:rsidRDefault="006046FB" w:rsidP="00B350E5">
      <w:pPr>
        <w:spacing w:after="0" w:line="360" w:lineRule="auto"/>
        <w:rPr>
          <w:rFonts w:ascii="Arial" w:hAnsi="Arial" w:cs="Arial"/>
        </w:rPr>
      </w:pPr>
      <w:r>
        <w:rPr>
          <w:rFonts w:ascii="Arial" w:hAnsi="Arial" w:cs="Arial"/>
          <w:b/>
        </w:rPr>
        <w:t>2</w:t>
      </w:r>
      <w:r w:rsidR="005B44CA">
        <w:rPr>
          <w:rFonts w:ascii="Arial" w:hAnsi="Arial" w:cs="Arial"/>
          <w:b/>
        </w:rPr>
        <w:t>.</w:t>
      </w:r>
      <w:r w:rsidR="00B350E5">
        <w:rPr>
          <w:rFonts w:ascii="Arial" w:hAnsi="Arial" w:cs="Arial"/>
          <w:b/>
        </w:rPr>
        <w:t>2</w:t>
      </w:r>
      <w:r w:rsidR="00B350E5" w:rsidRPr="005B6CA1">
        <w:rPr>
          <w:rFonts w:ascii="Arial" w:hAnsi="Arial" w:cs="Arial"/>
          <w:b/>
        </w:rPr>
        <w:t>.</w:t>
      </w:r>
      <w:r w:rsidR="00B350E5" w:rsidRPr="005B6CA1">
        <w:rPr>
          <w:rFonts w:ascii="Arial" w:hAnsi="Arial" w:cs="Arial"/>
        </w:rPr>
        <w:t xml:space="preserve"> </w:t>
      </w:r>
      <w:r w:rsidR="00B350E5" w:rsidRPr="005B6CA1">
        <w:rPr>
          <w:rFonts w:ascii="Arial" w:hAnsi="Arial" w:cs="Arial"/>
          <w:b/>
        </w:rPr>
        <w:t xml:space="preserve">PERFIL </w:t>
      </w:r>
      <w:r w:rsidR="00B350E5">
        <w:rPr>
          <w:rFonts w:ascii="Arial" w:hAnsi="Arial" w:cs="Arial"/>
          <w:b/>
        </w:rPr>
        <w:t xml:space="preserve">EN SALUD </w:t>
      </w:r>
    </w:p>
    <w:p w14:paraId="7643585D" w14:textId="77777777" w:rsidR="00B350E5" w:rsidRPr="005B6CA1" w:rsidRDefault="00B350E5" w:rsidP="00B350E5">
      <w:pPr>
        <w:spacing w:line="360" w:lineRule="auto"/>
        <w:jc w:val="both"/>
        <w:rPr>
          <w:rFonts w:ascii="Arial" w:hAnsi="Arial" w:cs="Arial"/>
        </w:rPr>
      </w:pPr>
      <w:r w:rsidRPr="005B6CA1">
        <w:rPr>
          <w:rFonts w:ascii="Arial" w:hAnsi="Arial" w:cs="Arial"/>
        </w:rPr>
        <w:t>Durante el siglo XX, América Latina y el Caribe experimentaron una profunda y compleja transformación en sus condiciones de salud</w:t>
      </w:r>
      <w:r w:rsidRPr="005B6CA1">
        <w:rPr>
          <w:rStyle w:val="Refdenotaalpie"/>
          <w:rFonts w:ascii="Arial" w:hAnsi="Arial" w:cs="Arial"/>
        </w:rPr>
        <w:footnoteReference w:id="19"/>
      </w:r>
      <w:r w:rsidRPr="005B6CA1">
        <w:rPr>
          <w:rFonts w:ascii="Arial" w:hAnsi="Arial" w:cs="Arial"/>
        </w:rPr>
        <w:t>. Específicamente, México ha estado inmerso en un proceso dinámico y donde dichas condiciones se transforman de forma continua, a medida que desaparecen, emergen o reemergen distintos padecimientos. El cambio dinámico de la frecuencia, magnitud y distribución de la morbilidad y mortalidad de la población ha sido el desplazamiento en la prevalencia de las enfermedades transmisibles por las no transmisibles, el desplazamiento de la morbilidad y mortalidad de los grupos etarios jóvenes a los más envejecidos, así como el desplazamiento de la mortalidad como fuerza predominante por la morbilidad, sus secuelas y limitantes. Sin embargo, los patrones de cambio antes descritos se han insertado en un marco de desigualdades socioeconómicas y espaciales, por lo cual estos proceden de formas y ritmos diferentes entre los estratos sociales y las diferentes regiones del país, produciéndose así una polarización epidemiológica, la cual agrava las desigualdades en materia de salud</w:t>
      </w:r>
      <w:r w:rsidRPr="005B6CA1">
        <w:rPr>
          <w:rStyle w:val="Refdenotaalpie"/>
          <w:rFonts w:ascii="Arial" w:hAnsi="Arial" w:cs="Arial"/>
        </w:rPr>
        <w:footnoteReference w:id="20"/>
      </w:r>
      <w:r w:rsidRPr="005B6CA1">
        <w:rPr>
          <w:rFonts w:ascii="Arial" w:hAnsi="Arial" w:cs="Arial"/>
        </w:rPr>
        <w:t>.</w:t>
      </w:r>
    </w:p>
    <w:p w14:paraId="10A1DE53" w14:textId="3ABB0568" w:rsidR="00B350E5" w:rsidRPr="005B6CA1" w:rsidRDefault="00B350E5" w:rsidP="00B350E5">
      <w:pPr>
        <w:spacing w:line="360" w:lineRule="auto"/>
        <w:jc w:val="both"/>
        <w:rPr>
          <w:rFonts w:ascii="Arial" w:hAnsi="Arial" w:cs="Arial"/>
        </w:rPr>
      </w:pPr>
      <w:r w:rsidRPr="005B6CA1">
        <w:rPr>
          <w:rFonts w:ascii="Arial" w:hAnsi="Arial" w:cs="Arial"/>
        </w:rPr>
        <w:t>El proceso dinámico en el cual los patrones de salud y enfermedad, así como la respuesta social or</w:t>
      </w:r>
      <w:r w:rsidR="007B43DB">
        <w:rPr>
          <w:rFonts w:ascii="Arial" w:hAnsi="Arial" w:cs="Arial"/>
        </w:rPr>
        <w:t xml:space="preserve">ganizada a dichas condiciones, </w:t>
      </w:r>
      <w:r w:rsidRPr="005B6CA1">
        <w:rPr>
          <w:rFonts w:ascii="Arial" w:hAnsi="Arial" w:cs="Arial"/>
        </w:rPr>
        <w:t xml:space="preserve">se han ido transformando en respuesta a cambios </w:t>
      </w:r>
      <w:r w:rsidRPr="005B6CA1">
        <w:rPr>
          <w:rFonts w:ascii="Arial" w:hAnsi="Arial" w:cs="Arial"/>
        </w:rPr>
        <w:lastRenderedPageBreak/>
        <w:t>más amplios de índole demográfica, socioeconómica, tecnológica, política, cultural y biológica, se le considera como la transición en salud. Este último concepto está integrado por dos transiciones más específicas: la transición epidemiológica y de la atención sanitaria. La primera transición refiere a los cambios de frecuencia, magnitud y distribución de las condiciones de salud, expresada en términos de muerte, enfermedad e invalidez. En cambio, la transición de la atención sanitaria es la evolución de la respuesta social, expresada en la forma en que el sistema de salud se organiza para el suministro de servicios</w:t>
      </w:r>
      <w:r w:rsidRPr="005B6CA1">
        <w:rPr>
          <w:rStyle w:val="Refdenotaalpie"/>
          <w:rFonts w:ascii="Arial" w:hAnsi="Arial" w:cs="Arial"/>
        </w:rPr>
        <w:footnoteReference w:id="21"/>
      </w:r>
      <w:r w:rsidRPr="005B6CA1">
        <w:rPr>
          <w:rFonts w:ascii="Arial" w:hAnsi="Arial" w:cs="Arial"/>
        </w:rPr>
        <w:t>. Para fines de la presente fundamentación, se aborda el estado actual de la transición epidemiológica como marco conductor del análisis.</w:t>
      </w:r>
    </w:p>
    <w:p w14:paraId="2CDAD76B" w14:textId="77777777" w:rsidR="007F2637" w:rsidRDefault="007F2637" w:rsidP="00B350E5">
      <w:pPr>
        <w:spacing w:after="0" w:line="360" w:lineRule="auto"/>
        <w:rPr>
          <w:rFonts w:ascii="Arial" w:hAnsi="Arial" w:cs="Arial"/>
          <w:b/>
        </w:rPr>
      </w:pPr>
    </w:p>
    <w:p w14:paraId="6286DF5D" w14:textId="77777777" w:rsidR="00B350E5" w:rsidRPr="005B6CA1" w:rsidRDefault="006046FB" w:rsidP="00B350E5">
      <w:pPr>
        <w:spacing w:after="0" w:line="360" w:lineRule="auto"/>
        <w:rPr>
          <w:rFonts w:ascii="Arial" w:hAnsi="Arial" w:cs="Arial"/>
        </w:rPr>
      </w:pPr>
      <w:r>
        <w:rPr>
          <w:rFonts w:ascii="Arial" w:hAnsi="Arial" w:cs="Arial"/>
          <w:b/>
        </w:rPr>
        <w:t>2</w:t>
      </w:r>
      <w:r w:rsidR="005B44CA">
        <w:rPr>
          <w:rFonts w:ascii="Arial" w:hAnsi="Arial" w:cs="Arial"/>
          <w:b/>
        </w:rPr>
        <w:t>.3.</w:t>
      </w:r>
      <w:r w:rsidR="00B350E5" w:rsidRPr="005B6CA1">
        <w:rPr>
          <w:rFonts w:ascii="Arial" w:hAnsi="Arial" w:cs="Arial"/>
        </w:rPr>
        <w:t xml:space="preserve"> </w:t>
      </w:r>
      <w:r w:rsidR="00B350E5">
        <w:rPr>
          <w:rFonts w:ascii="Arial" w:hAnsi="Arial" w:cs="Arial"/>
          <w:b/>
        </w:rPr>
        <w:t xml:space="preserve">MORBILIDAD </w:t>
      </w:r>
    </w:p>
    <w:p w14:paraId="6B33D52A" w14:textId="2372D9BE" w:rsidR="00B350E5" w:rsidRPr="005B6CA1" w:rsidRDefault="00B350E5" w:rsidP="00B350E5">
      <w:pPr>
        <w:spacing w:line="360" w:lineRule="auto"/>
        <w:jc w:val="both"/>
        <w:rPr>
          <w:rFonts w:ascii="Arial" w:hAnsi="Arial" w:cs="Arial"/>
        </w:rPr>
      </w:pPr>
      <w:r w:rsidRPr="005B6CA1">
        <w:rPr>
          <w:rFonts w:ascii="Arial" w:hAnsi="Arial" w:cs="Arial"/>
        </w:rPr>
        <w:t xml:space="preserve">Una de las direcciones de cambio que ocurren durante la transición epidemiológica, como se ha señalado, es el desplazamiento de la mortalidad del primer plano del estado de salud de la población, la cual se releva por la morbilidad –junto con sus secuelas y limitantes– como fuerza preponderante. Además, en este proceso dinámico de cambio, el concepto de enfermedad sufre una modificación radical, al respecto Frenk </w:t>
      </w:r>
      <w:r w:rsidRPr="005B6CA1">
        <w:rPr>
          <w:rFonts w:ascii="Arial" w:hAnsi="Arial" w:cs="Arial"/>
          <w:i/>
        </w:rPr>
        <w:t>et al.</w:t>
      </w:r>
      <w:r w:rsidRPr="005B6CA1">
        <w:rPr>
          <w:rFonts w:ascii="Arial" w:hAnsi="Arial" w:cs="Arial"/>
        </w:rPr>
        <w:t xml:space="preserve"> señala:</w:t>
      </w:r>
    </w:p>
    <w:p w14:paraId="3E85990E" w14:textId="77777777" w:rsidR="00B350E5" w:rsidRPr="005B6CA1" w:rsidRDefault="00B350E5" w:rsidP="00B350E5">
      <w:pPr>
        <w:spacing w:line="360" w:lineRule="auto"/>
        <w:ind w:left="708"/>
        <w:jc w:val="both"/>
        <w:rPr>
          <w:rFonts w:ascii="Arial" w:hAnsi="Arial" w:cs="Arial"/>
        </w:rPr>
      </w:pPr>
      <w:r w:rsidRPr="009762E7">
        <w:rPr>
          <w:rFonts w:ascii="Arial" w:hAnsi="Arial" w:cs="Arial"/>
          <w:i/>
          <w:sz w:val="20"/>
        </w:rPr>
        <w:t>“De ser primordialmente un proceso agudo que con gran frecuencia termina en la muerte, la enfermedad se convierte en un estado crónico que mucha gente (…) sufre durante largos períodos de su vida. De este modo se hace posible la combinación, aparentemente paradójica, de una mortalidad descendente junto con una morbilidad creciente” (p.487)</w:t>
      </w:r>
      <w:r w:rsidRPr="005B6CA1">
        <w:rPr>
          <w:rStyle w:val="Refdenotaalpie"/>
          <w:rFonts w:ascii="Arial" w:hAnsi="Arial" w:cs="Arial"/>
        </w:rPr>
        <w:footnoteReference w:id="22"/>
      </w:r>
      <w:r w:rsidRPr="005B6CA1">
        <w:rPr>
          <w:rFonts w:ascii="Arial" w:hAnsi="Arial" w:cs="Arial"/>
        </w:rPr>
        <w:t>.</w:t>
      </w:r>
    </w:p>
    <w:p w14:paraId="6063F2D5" w14:textId="77777777" w:rsidR="00461D21" w:rsidRDefault="00461D21" w:rsidP="00461D21">
      <w:pPr>
        <w:spacing w:line="360" w:lineRule="auto"/>
        <w:jc w:val="both"/>
        <w:rPr>
          <w:rFonts w:ascii="Arial" w:hAnsi="Arial" w:cs="Arial"/>
        </w:rPr>
      </w:pPr>
      <w:r>
        <w:rPr>
          <w:rFonts w:ascii="Arial" w:hAnsi="Arial" w:cs="Arial"/>
        </w:rPr>
        <w:t>Aunado a lo anterior, es importante señalar que la noción del estado de salud durante la niñez es distinta a aquella en edades adultas. Al respecto, Pérez y Muñoz</w:t>
      </w:r>
      <w:r>
        <w:rPr>
          <w:rStyle w:val="Refdenotaalpie"/>
          <w:rFonts w:ascii="Arial" w:hAnsi="Arial" w:cs="Arial"/>
        </w:rPr>
        <w:footnoteReference w:id="23"/>
      </w:r>
      <w:r>
        <w:rPr>
          <w:rFonts w:ascii="Arial" w:hAnsi="Arial" w:cs="Arial"/>
        </w:rPr>
        <w:t xml:space="preserve"> señalan que:</w:t>
      </w:r>
    </w:p>
    <w:p w14:paraId="7567C159" w14:textId="77777777" w:rsidR="00461D21" w:rsidRDefault="00461D21" w:rsidP="00461D21">
      <w:pPr>
        <w:spacing w:line="360" w:lineRule="auto"/>
        <w:ind w:left="708"/>
        <w:jc w:val="both"/>
        <w:rPr>
          <w:rFonts w:ascii="Arial" w:hAnsi="Arial" w:cs="Arial"/>
        </w:rPr>
      </w:pPr>
      <w:r>
        <w:rPr>
          <w:rFonts w:ascii="Arial" w:hAnsi="Arial" w:cs="Arial"/>
        </w:rPr>
        <w:t>“</w:t>
      </w:r>
      <w:r w:rsidRPr="00C80C9F">
        <w:rPr>
          <w:rFonts w:ascii="Arial" w:hAnsi="Arial" w:cs="Arial"/>
          <w:i/>
        </w:rPr>
        <w:t>La salud representa el grado en que los niños, de manera individual o colectiva, son capaces o se les habilita para desarrollarse y realizar su potencial, satisfacer sus necesidades y ampliar sus capacidades para interactuar exitosamente con el ambiente biológico, físico y social</w:t>
      </w:r>
      <w:r>
        <w:rPr>
          <w:rFonts w:ascii="Arial" w:hAnsi="Arial" w:cs="Arial"/>
        </w:rPr>
        <w:t xml:space="preserve">” </w:t>
      </w:r>
      <w:r w:rsidRPr="00D87716">
        <w:rPr>
          <w:rFonts w:ascii="Arial" w:hAnsi="Arial" w:cs="Arial"/>
          <w:i/>
        </w:rPr>
        <w:t>(p.127</w:t>
      </w:r>
      <w:r>
        <w:rPr>
          <w:rStyle w:val="Refdenotaalpie"/>
          <w:rFonts w:ascii="Arial" w:hAnsi="Arial" w:cs="Arial"/>
          <w:i/>
        </w:rPr>
        <w:footnoteReference w:id="24"/>
      </w:r>
      <w:r w:rsidRPr="00D87716">
        <w:rPr>
          <w:rFonts w:ascii="Arial" w:hAnsi="Arial" w:cs="Arial"/>
          <w:i/>
        </w:rPr>
        <w:t>)</w:t>
      </w:r>
      <w:r>
        <w:rPr>
          <w:rFonts w:ascii="Arial" w:hAnsi="Arial" w:cs="Arial"/>
        </w:rPr>
        <w:t>.</w:t>
      </w:r>
    </w:p>
    <w:p w14:paraId="43E07275" w14:textId="77777777" w:rsidR="00045356" w:rsidRDefault="00045356" w:rsidP="00461D21">
      <w:pPr>
        <w:spacing w:line="360" w:lineRule="auto"/>
        <w:jc w:val="both"/>
        <w:rPr>
          <w:rFonts w:ascii="Arial" w:hAnsi="Arial" w:cs="Arial"/>
        </w:rPr>
      </w:pPr>
    </w:p>
    <w:p w14:paraId="07720207" w14:textId="77777777" w:rsidR="00045356" w:rsidRDefault="00045356" w:rsidP="00461D21">
      <w:pPr>
        <w:spacing w:line="360" w:lineRule="auto"/>
        <w:jc w:val="both"/>
        <w:rPr>
          <w:rFonts w:ascii="Arial" w:hAnsi="Arial" w:cs="Arial"/>
        </w:rPr>
      </w:pPr>
    </w:p>
    <w:p w14:paraId="287169B8" w14:textId="587B261D" w:rsidR="00461D21" w:rsidRDefault="00461D21" w:rsidP="00461D21">
      <w:pPr>
        <w:spacing w:line="360" w:lineRule="auto"/>
        <w:jc w:val="both"/>
        <w:rPr>
          <w:rFonts w:ascii="Arial" w:hAnsi="Arial" w:cs="Arial"/>
        </w:rPr>
      </w:pPr>
      <w:r>
        <w:rPr>
          <w:rFonts w:ascii="Arial" w:hAnsi="Arial" w:cs="Arial"/>
        </w:rPr>
        <w:t xml:space="preserve">Asimismo, los autores también señalan que: </w:t>
      </w:r>
    </w:p>
    <w:p w14:paraId="21F19163" w14:textId="77777777" w:rsidR="00461D21" w:rsidRDefault="00461D21" w:rsidP="00461D21">
      <w:pPr>
        <w:spacing w:line="360" w:lineRule="auto"/>
        <w:ind w:left="708"/>
        <w:jc w:val="both"/>
        <w:rPr>
          <w:rFonts w:ascii="Arial" w:hAnsi="Arial" w:cs="Arial"/>
        </w:rPr>
      </w:pPr>
      <w:r>
        <w:rPr>
          <w:rFonts w:ascii="Arial" w:hAnsi="Arial" w:cs="Arial"/>
        </w:rPr>
        <w:t>“</w:t>
      </w:r>
      <w:r w:rsidRPr="00C80C9F">
        <w:rPr>
          <w:rFonts w:ascii="Arial" w:hAnsi="Arial" w:cs="Arial"/>
          <w:i/>
        </w:rPr>
        <w:t>Los niños, debido a su desarrollo, tienen una dinámica constante en su estado de salud y son expuestos de forma longitudinal a múltiples influencias de carácter biológico, ambiental, cultural y conductual. Dichas influencias pueden convertirse en factores de riesgo o factores protect</w:t>
      </w:r>
      <w:r>
        <w:rPr>
          <w:rFonts w:ascii="Arial" w:hAnsi="Arial" w:cs="Arial"/>
          <w:i/>
        </w:rPr>
        <w:t>ores y/o promotores de la salud</w:t>
      </w:r>
      <w:r>
        <w:rPr>
          <w:rFonts w:ascii="Arial" w:hAnsi="Arial" w:cs="Arial"/>
        </w:rPr>
        <w:t xml:space="preserve">” </w:t>
      </w:r>
      <w:r w:rsidRPr="00D87716">
        <w:rPr>
          <w:rFonts w:ascii="Arial" w:hAnsi="Arial" w:cs="Arial"/>
          <w:i/>
        </w:rPr>
        <w:t>(p.127)</w:t>
      </w:r>
      <w:r>
        <w:rPr>
          <w:rStyle w:val="Refdenotaalpie"/>
          <w:rFonts w:ascii="Arial" w:hAnsi="Arial" w:cs="Arial"/>
          <w:i/>
        </w:rPr>
        <w:footnoteReference w:id="25"/>
      </w:r>
      <w:r>
        <w:rPr>
          <w:rFonts w:ascii="Arial" w:hAnsi="Arial" w:cs="Arial"/>
        </w:rPr>
        <w:t>.</w:t>
      </w:r>
    </w:p>
    <w:p w14:paraId="4B6338C3" w14:textId="77777777" w:rsidR="00461D21" w:rsidRDefault="00461D21" w:rsidP="00461D21">
      <w:pPr>
        <w:spacing w:line="360" w:lineRule="auto"/>
        <w:jc w:val="both"/>
        <w:rPr>
          <w:rFonts w:ascii="Arial" w:hAnsi="Arial" w:cs="Arial"/>
        </w:rPr>
      </w:pPr>
      <w:r>
        <w:rPr>
          <w:rFonts w:ascii="Arial" w:hAnsi="Arial" w:cs="Arial"/>
        </w:rPr>
        <w:t>En consecuencia</w:t>
      </w:r>
      <w:r w:rsidRPr="005B6CA1">
        <w:rPr>
          <w:rFonts w:ascii="Arial" w:hAnsi="Arial" w:cs="Arial"/>
        </w:rPr>
        <w:t xml:space="preserve">, </w:t>
      </w:r>
      <w:r>
        <w:rPr>
          <w:rFonts w:ascii="Arial" w:hAnsi="Arial" w:cs="Arial"/>
        </w:rPr>
        <w:t xml:space="preserve">la población en edad pediátrica tiene características y necesidades específicas de salud, las cuales requieren respuestas puntuales. Por lo tanto, </w:t>
      </w:r>
      <w:r w:rsidRPr="005B6CA1">
        <w:rPr>
          <w:rFonts w:ascii="Arial" w:hAnsi="Arial" w:cs="Arial"/>
        </w:rPr>
        <w:t xml:space="preserve">este análisis no estaría completo si no se muestra la </w:t>
      </w:r>
      <w:r>
        <w:rPr>
          <w:rFonts w:ascii="Arial" w:hAnsi="Arial" w:cs="Arial"/>
        </w:rPr>
        <w:t xml:space="preserve">evidencia </w:t>
      </w:r>
      <w:r w:rsidRPr="005B6CA1">
        <w:rPr>
          <w:rFonts w:ascii="Arial" w:hAnsi="Arial" w:cs="Arial"/>
        </w:rPr>
        <w:t xml:space="preserve">de la morbilidad que prevalece en el país, </w:t>
      </w:r>
      <w:r>
        <w:rPr>
          <w:rFonts w:ascii="Arial" w:hAnsi="Arial" w:cs="Arial"/>
        </w:rPr>
        <w:t>ya que este ámbito es crítico para identificar, definir y cuantificar los recursos necesarios para</w:t>
      </w:r>
      <w:r w:rsidRPr="00984486">
        <w:rPr>
          <w:rFonts w:ascii="Arial" w:hAnsi="Arial" w:cs="Arial"/>
        </w:rPr>
        <w:t xml:space="preserve"> la magnitud de las necesidades en la población pediátrica y conocer las mejores prácticas para satisfacerlas.</w:t>
      </w:r>
    </w:p>
    <w:p w14:paraId="38857AB7" w14:textId="3D2D59CC" w:rsidR="00461D21" w:rsidRDefault="00461D21" w:rsidP="00461D21">
      <w:pPr>
        <w:spacing w:line="360" w:lineRule="auto"/>
        <w:jc w:val="both"/>
        <w:rPr>
          <w:rFonts w:ascii="Arial" w:hAnsi="Arial" w:cs="Arial"/>
        </w:rPr>
      </w:pPr>
      <w:r w:rsidRPr="005B6CA1">
        <w:rPr>
          <w:rFonts w:ascii="Arial" w:hAnsi="Arial" w:cs="Arial"/>
        </w:rPr>
        <w:t>Para el año 2017, se registraron 47.6 millones de casos de enfermedades en e</w:t>
      </w:r>
      <w:r w:rsidR="002938E8">
        <w:rPr>
          <w:rFonts w:ascii="Arial" w:hAnsi="Arial" w:cs="Arial"/>
        </w:rPr>
        <w:t>l  sistema público de salud</w:t>
      </w:r>
      <w:r w:rsidRPr="005B6CA1">
        <w:rPr>
          <w:rStyle w:val="Refdenotaalpie"/>
          <w:rFonts w:ascii="Arial" w:hAnsi="Arial" w:cs="Arial"/>
        </w:rPr>
        <w:footnoteReference w:id="26"/>
      </w:r>
      <w:r w:rsidRPr="005B6CA1">
        <w:rPr>
          <w:rFonts w:ascii="Arial" w:hAnsi="Arial" w:cs="Arial"/>
        </w:rPr>
        <w:t xml:space="preserve">. La mayoría de casos registrados en el país corresponde a </w:t>
      </w:r>
      <w:r>
        <w:rPr>
          <w:rFonts w:ascii="Arial" w:hAnsi="Arial" w:cs="Arial"/>
        </w:rPr>
        <w:t>la población infantil y adolescente (0-19 años), ya que estos aglomeran 42.7% de la morbilidad registrada en dicho año. Por sexos, la población de niñas y adolescentes es la de mayor proporción en dicho esquema, pues representa 51.6%, en cambio, la población masculina constituye 48.4% de los casos registrados para estas edades</w:t>
      </w:r>
      <w:r>
        <w:rPr>
          <w:rStyle w:val="Refdenotaalpie"/>
          <w:rFonts w:ascii="Arial" w:hAnsi="Arial" w:cs="Arial"/>
        </w:rPr>
        <w:footnoteReference w:id="27"/>
      </w:r>
      <w:r>
        <w:rPr>
          <w:rFonts w:ascii="Arial" w:hAnsi="Arial" w:cs="Arial"/>
        </w:rPr>
        <w:t>. En consecuencia, se puede mencionar que, en las primeras edades de la vida, existe una tendencia a la feminización de la morbilidad y, en consecuencia, de los servicios de salud. Por otro lado, e</w:t>
      </w:r>
      <w:r w:rsidRPr="00DE241B">
        <w:rPr>
          <w:rFonts w:ascii="Arial" w:hAnsi="Arial" w:cs="Arial"/>
        </w:rPr>
        <w:t xml:space="preserve">s importante señalar que existe un claro diferencial de niveles y </w:t>
      </w:r>
      <w:r>
        <w:rPr>
          <w:rFonts w:ascii="Arial" w:hAnsi="Arial" w:cs="Arial"/>
        </w:rPr>
        <w:t xml:space="preserve">padecimientos </w:t>
      </w:r>
      <w:r w:rsidRPr="00DE241B">
        <w:rPr>
          <w:rFonts w:ascii="Arial" w:hAnsi="Arial" w:cs="Arial"/>
        </w:rPr>
        <w:t>tanto por sexos y grupos etarios.</w:t>
      </w:r>
      <w:r>
        <w:rPr>
          <w:rFonts w:ascii="Arial" w:hAnsi="Arial" w:cs="Arial"/>
        </w:rPr>
        <w:t xml:space="preserve"> Por lo anterior, el análisis de morbilidad será en función de la morbilidad hospitalaria en el sector público.</w:t>
      </w:r>
      <w:r w:rsidRPr="00DE241B">
        <w:t xml:space="preserve"> </w:t>
      </w:r>
    </w:p>
    <w:p w14:paraId="73C18B34" w14:textId="039B7F03" w:rsidR="00461D21" w:rsidRDefault="00461D21" w:rsidP="00461D21">
      <w:pPr>
        <w:spacing w:line="360" w:lineRule="auto"/>
        <w:jc w:val="both"/>
        <w:rPr>
          <w:rFonts w:ascii="Arial" w:hAnsi="Arial" w:cs="Arial"/>
        </w:rPr>
      </w:pPr>
      <w:r>
        <w:rPr>
          <w:rFonts w:ascii="Arial" w:hAnsi="Arial" w:cs="Arial"/>
        </w:rPr>
        <w:t>Específicamente para la población neonatal, para 2017 se registraron 116,974 casos de morbilidad hospitalaria, de los cuales 55% son hombres y 45% son mujeres</w:t>
      </w:r>
      <w:r>
        <w:rPr>
          <w:rStyle w:val="Refdenotaalpie"/>
          <w:rFonts w:ascii="Arial" w:hAnsi="Arial" w:cs="Arial"/>
        </w:rPr>
        <w:footnoteReference w:id="28"/>
      </w:r>
      <w:r>
        <w:rPr>
          <w:rFonts w:ascii="Arial" w:hAnsi="Arial" w:cs="Arial"/>
        </w:rPr>
        <w:t>. Respecto a la etiología de los padecimientos, las afecciones originadas en el período perinatal son significativamente la primera causa de morbilidad de dicha población, ya que estas constituyen 84% de los casos registrados; las m</w:t>
      </w:r>
      <w:r w:rsidRPr="00BC1EB3">
        <w:rPr>
          <w:rFonts w:ascii="Arial" w:hAnsi="Arial" w:cs="Arial"/>
        </w:rPr>
        <w:t xml:space="preserve">alformaciones congénitas, deformidades y </w:t>
      </w:r>
      <w:r w:rsidRPr="00BC1EB3">
        <w:rPr>
          <w:rFonts w:ascii="Arial" w:hAnsi="Arial" w:cs="Arial"/>
        </w:rPr>
        <w:lastRenderedPageBreak/>
        <w:t>anomalías cromosómicas</w:t>
      </w:r>
      <w:r>
        <w:rPr>
          <w:rFonts w:ascii="Arial" w:hAnsi="Arial" w:cs="Arial"/>
        </w:rPr>
        <w:t xml:space="preserve"> son la segunda causa de morbilidad, aunque sólo representan 5% de la carga de morbilidad</w:t>
      </w:r>
      <w:r>
        <w:rPr>
          <w:rStyle w:val="Refdenotaalpie"/>
          <w:rFonts w:ascii="Arial" w:hAnsi="Arial" w:cs="Arial"/>
        </w:rPr>
        <w:footnoteReference w:id="29"/>
      </w:r>
      <w:r>
        <w:rPr>
          <w:rFonts w:ascii="Arial" w:hAnsi="Arial" w:cs="Arial"/>
        </w:rPr>
        <w:t xml:space="preserve"> (Cuadro 2). Específicamente, la estructura por causas de la población perinatal es muy similar por sexos; al respecto, la </w:t>
      </w:r>
      <w:r w:rsidRPr="00260B60">
        <w:rPr>
          <w:rFonts w:ascii="Arial" w:hAnsi="Arial" w:cs="Arial"/>
          <w:i/>
        </w:rPr>
        <w:t>sepsis bacteriana del recién nacido</w:t>
      </w:r>
      <w:r w:rsidRPr="00B76A47">
        <w:rPr>
          <w:rFonts w:ascii="Arial" w:hAnsi="Arial" w:cs="Arial"/>
        </w:rPr>
        <w:t xml:space="preserve"> </w:t>
      </w:r>
      <w:r>
        <w:rPr>
          <w:rFonts w:ascii="Arial" w:hAnsi="Arial" w:cs="Arial"/>
        </w:rPr>
        <w:t>(</w:t>
      </w:r>
      <w:r w:rsidRPr="00B76A47">
        <w:rPr>
          <w:rFonts w:ascii="Arial" w:hAnsi="Arial" w:cs="Arial"/>
        </w:rPr>
        <w:t>no especificada</w:t>
      </w:r>
      <w:r>
        <w:rPr>
          <w:rFonts w:ascii="Arial" w:hAnsi="Arial" w:cs="Arial"/>
        </w:rPr>
        <w:t xml:space="preserve">) es la primera causa en la estructura de morbilidad para la población neonatal tanto para hombres como mujeres (60.13 y 53.15 eventos por cada 10,000 nacimientos, respectivamente); la </w:t>
      </w:r>
      <w:r w:rsidR="00260B60">
        <w:rPr>
          <w:rFonts w:ascii="Arial" w:hAnsi="Arial" w:cs="Arial"/>
        </w:rPr>
        <w:t>situación que presentan</w:t>
      </w:r>
      <w:r w:rsidR="000C49BF">
        <w:rPr>
          <w:rFonts w:ascii="Arial" w:hAnsi="Arial" w:cs="Arial"/>
        </w:rPr>
        <w:t xml:space="preserve"> </w:t>
      </w:r>
      <w:r w:rsidR="000C49BF" w:rsidRPr="00260B60">
        <w:rPr>
          <w:rFonts w:ascii="Arial" w:hAnsi="Arial" w:cs="Arial"/>
          <w:i/>
        </w:rPr>
        <w:t>otros recién nacidos pretérmino</w:t>
      </w:r>
      <w:r>
        <w:rPr>
          <w:rFonts w:ascii="Arial" w:hAnsi="Arial" w:cs="Arial"/>
        </w:rPr>
        <w:t xml:space="preserve"> es la segunda causa con tasas de 54.17 para hombres y 46.64 para mujeres respectivamente; la </w:t>
      </w:r>
      <w:r w:rsidRPr="00260B60">
        <w:rPr>
          <w:rFonts w:ascii="Arial" w:hAnsi="Arial" w:cs="Arial"/>
          <w:i/>
        </w:rPr>
        <w:t>ictericia neonatal</w:t>
      </w:r>
      <w:r>
        <w:rPr>
          <w:rFonts w:ascii="Arial" w:hAnsi="Arial" w:cs="Arial"/>
        </w:rPr>
        <w:t xml:space="preserve">, </w:t>
      </w:r>
      <w:r w:rsidRPr="00260B60">
        <w:rPr>
          <w:rFonts w:ascii="Arial" w:hAnsi="Arial" w:cs="Arial"/>
          <w:i/>
        </w:rPr>
        <w:t>síndrome de dificultad respiratoria del recién nacido</w:t>
      </w:r>
      <w:r>
        <w:rPr>
          <w:rFonts w:ascii="Arial" w:hAnsi="Arial" w:cs="Arial"/>
        </w:rPr>
        <w:t xml:space="preserve"> y la </w:t>
      </w:r>
      <w:r w:rsidRPr="00260B60">
        <w:rPr>
          <w:rFonts w:ascii="Arial" w:hAnsi="Arial" w:cs="Arial"/>
          <w:i/>
        </w:rPr>
        <w:t>taquipnea transitoria del recién nacido</w:t>
      </w:r>
      <w:r>
        <w:rPr>
          <w:rFonts w:ascii="Arial" w:hAnsi="Arial" w:cs="Arial"/>
        </w:rPr>
        <w:t xml:space="preserve"> se constituyen como la tercera, cuarta y quinta causa de morbilidad para ambos sexos. Es hasta la sexta causa de enfermedad donde la uniformidad por sexos se rompe, de tal forma que para hombres es la </w:t>
      </w:r>
      <w:r w:rsidRPr="0018065F">
        <w:rPr>
          <w:rFonts w:ascii="Arial" w:hAnsi="Arial" w:cs="Arial"/>
        </w:rPr>
        <w:t>dificultad respiratoria del recién nacido</w:t>
      </w:r>
      <w:r>
        <w:rPr>
          <w:rFonts w:ascii="Arial" w:hAnsi="Arial" w:cs="Arial"/>
        </w:rPr>
        <w:t xml:space="preserve"> (21.74), en cambio para las mujeres son otros síntomas y signos generales especificados (17.8)</w:t>
      </w:r>
      <w:r>
        <w:rPr>
          <w:rStyle w:val="Refdenotaalpie"/>
          <w:rFonts w:ascii="Arial" w:hAnsi="Arial" w:cs="Arial"/>
        </w:rPr>
        <w:footnoteReference w:id="30"/>
      </w:r>
      <w:r>
        <w:rPr>
          <w:rFonts w:ascii="Arial" w:hAnsi="Arial" w:cs="Arial"/>
        </w:rPr>
        <w:t>. Finalmente, es importante notar que los hombres tienen mayores niveles de morbilidad que las mujeres</w:t>
      </w:r>
      <w:r>
        <w:rPr>
          <w:rStyle w:val="Refdenotaalpie"/>
          <w:rFonts w:ascii="Arial" w:hAnsi="Arial" w:cs="Arial"/>
        </w:rPr>
        <w:footnoteReference w:id="31"/>
      </w:r>
      <w:r>
        <w:rPr>
          <w:rFonts w:ascii="Arial" w:hAnsi="Arial" w:cs="Arial"/>
        </w:rPr>
        <w:t xml:space="preserve">.  </w:t>
      </w:r>
    </w:p>
    <w:p w14:paraId="63064A17" w14:textId="77777777" w:rsidR="00461D21" w:rsidRPr="00595A2A" w:rsidRDefault="00461D21" w:rsidP="00461D21">
      <w:pPr>
        <w:spacing w:line="360" w:lineRule="auto"/>
        <w:jc w:val="center"/>
        <w:rPr>
          <w:rFonts w:ascii="Arial" w:hAnsi="Arial" w:cs="Arial"/>
          <w:b/>
        </w:rPr>
      </w:pPr>
      <w:r>
        <w:rPr>
          <w:rFonts w:ascii="Arial" w:hAnsi="Arial" w:cs="Arial"/>
          <w:b/>
        </w:rPr>
        <w:t>Cuadro 2</w:t>
      </w:r>
      <w:r w:rsidRPr="00595A2A">
        <w:rPr>
          <w:rFonts w:ascii="Arial" w:hAnsi="Arial" w:cs="Arial"/>
          <w:b/>
        </w:rPr>
        <w:t>. Principales causas de morbilidad</w:t>
      </w:r>
      <w:r>
        <w:rPr>
          <w:rFonts w:ascii="Arial" w:hAnsi="Arial" w:cs="Arial"/>
          <w:b/>
        </w:rPr>
        <w:t xml:space="preserve"> hospitalaria</w:t>
      </w:r>
      <w:r w:rsidRPr="00595A2A">
        <w:rPr>
          <w:rFonts w:ascii="Arial" w:hAnsi="Arial" w:cs="Arial"/>
          <w:b/>
        </w:rPr>
        <w:t xml:space="preserve"> para la población </w:t>
      </w:r>
      <w:r>
        <w:rPr>
          <w:rFonts w:ascii="Arial" w:hAnsi="Arial" w:cs="Arial"/>
          <w:b/>
        </w:rPr>
        <w:t>neonatal según</w:t>
      </w:r>
      <w:r w:rsidRPr="00595A2A">
        <w:rPr>
          <w:rFonts w:ascii="Arial" w:hAnsi="Arial" w:cs="Arial"/>
          <w:b/>
        </w:rPr>
        <w:t xml:space="preserve"> </w:t>
      </w:r>
      <w:r>
        <w:rPr>
          <w:rFonts w:ascii="Arial" w:hAnsi="Arial" w:cs="Arial"/>
          <w:b/>
        </w:rPr>
        <w:t>sexo</w:t>
      </w:r>
      <w:r w:rsidRPr="00595A2A">
        <w:rPr>
          <w:rFonts w:ascii="Arial" w:hAnsi="Arial" w:cs="Arial"/>
          <w:b/>
        </w:rPr>
        <w:t>, México 2017.</w:t>
      </w:r>
    </w:p>
    <w:tbl>
      <w:tblPr>
        <w:tblW w:w="9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29"/>
        <w:gridCol w:w="2835"/>
        <w:gridCol w:w="1266"/>
        <w:gridCol w:w="2987"/>
        <w:gridCol w:w="1200"/>
      </w:tblGrid>
      <w:tr w:rsidR="00461D21" w:rsidRPr="004409C6" w14:paraId="1292DB80" w14:textId="77777777" w:rsidTr="000F6F1D">
        <w:trPr>
          <w:trHeight w:val="300"/>
        </w:trPr>
        <w:tc>
          <w:tcPr>
            <w:tcW w:w="714" w:type="dxa"/>
            <w:vMerge w:val="restart"/>
            <w:shd w:val="clear" w:color="auto" w:fill="BDD6EE" w:themeFill="accent1" w:themeFillTint="66"/>
            <w:noWrap/>
            <w:vAlign w:val="center"/>
            <w:hideMark/>
          </w:tcPr>
          <w:p w14:paraId="03554C78" w14:textId="77777777" w:rsidR="00461D21" w:rsidRPr="000C49BF" w:rsidRDefault="00461D21" w:rsidP="000F6F1D">
            <w:pPr>
              <w:spacing w:after="0" w:line="240" w:lineRule="auto"/>
              <w:jc w:val="center"/>
              <w:rPr>
                <w:rFonts w:ascii="Arial" w:eastAsia="Times New Roman" w:hAnsi="Arial" w:cs="Arial"/>
                <w:b/>
                <w:sz w:val="20"/>
                <w:szCs w:val="20"/>
                <w:lang w:eastAsia="es-MX"/>
              </w:rPr>
            </w:pPr>
            <w:r w:rsidRPr="000C49BF">
              <w:rPr>
                <w:rFonts w:ascii="Arial" w:eastAsia="Times New Roman" w:hAnsi="Arial" w:cs="Arial"/>
                <w:b/>
                <w:color w:val="000000"/>
                <w:sz w:val="20"/>
                <w:szCs w:val="20"/>
                <w:lang w:eastAsia="es-MX"/>
              </w:rPr>
              <w:t>Orden</w:t>
            </w:r>
          </w:p>
        </w:tc>
        <w:tc>
          <w:tcPr>
            <w:tcW w:w="4101" w:type="dxa"/>
            <w:gridSpan w:val="2"/>
            <w:shd w:val="clear" w:color="auto" w:fill="BDD6EE" w:themeFill="accent1" w:themeFillTint="66"/>
            <w:noWrap/>
            <w:vAlign w:val="bottom"/>
            <w:hideMark/>
          </w:tcPr>
          <w:p w14:paraId="7A635196" w14:textId="77777777" w:rsidR="00461D21" w:rsidRPr="000C49BF" w:rsidRDefault="00461D21" w:rsidP="000F6F1D">
            <w:pPr>
              <w:spacing w:after="0" w:line="240" w:lineRule="auto"/>
              <w:jc w:val="center"/>
              <w:rPr>
                <w:rFonts w:ascii="Arial" w:eastAsia="Times New Roman" w:hAnsi="Arial" w:cs="Arial"/>
                <w:b/>
                <w:sz w:val="20"/>
                <w:szCs w:val="20"/>
                <w:lang w:eastAsia="es-MX"/>
              </w:rPr>
            </w:pPr>
            <w:r w:rsidRPr="000C49BF">
              <w:rPr>
                <w:rFonts w:ascii="Arial" w:eastAsia="Times New Roman" w:hAnsi="Arial" w:cs="Arial"/>
                <w:b/>
                <w:color w:val="000000"/>
                <w:sz w:val="20"/>
                <w:szCs w:val="20"/>
                <w:lang w:eastAsia="es-MX"/>
              </w:rPr>
              <w:t>Hombres</w:t>
            </w:r>
          </w:p>
        </w:tc>
        <w:tc>
          <w:tcPr>
            <w:tcW w:w="4187" w:type="dxa"/>
            <w:gridSpan w:val="2"/>
            <w:shd w:val="clear" w:color="auto" w:fill="BDD6EE" w:themeFill="accent1" w:themeFillTint="66"/>
            <w:noWrap/>
            <w:vAlign w:val="bottom"/>
            <w:hideMark/>
          </w:tcPr>
          <w:p w14:paraId="4F3DD7F6" w14:textId="77777777" w:rsidR="00461D21" w:rsidRPr="000C49BF" w:rsidRDefault="00461D21" w:rsidP="000F6F1D">
            <w:pPr>
              <w:spacing w:after="0" w:line="240" w:lineRule="auto"/>
              <w:jc w:val="center"/>
              <w:rPr>
                <w:rFonts w:ascii="Arial" w:eastAsia="Times New Roman" w:hAnsi="Arial" w:cs="Arial"/>
                <w:b/>
                <w:sz w:val="20"/>
                <w:szCs w:val="20"/>
                <w:lang w:eastAsia="es-MX"/>
              </w:rPr>
            </w:pPr>
            <w:r w:rsidRPr="000C49BF">
              <w:rPr>
                <w:rFonts w:ascii="Arial" w:eastAsia="Times New Roman" w:hAnsi="Arial" w:cs="Arial"/>
                <w:b/>
                <w:color w:val="000000"/>
                <w:sz w:val="20"/>
                <w:szCs w:val="20"/>
                <w:lang w:eastAsia="es-MX"/>
              </w:rPr>
              <w:t>Mujeres</w:t>
            </w:r>
          </w:p>
        </w:tc>
      </w:tr>
      <w:tr w:rsidR="00461D21" w:rsidRPr="004409C6" w14:paraId="568AB2B9" w14:textId="77777777" w:rsidTr="000F6F1D">
        <w:trPr>
          <w:trHeight w:val="300"/>
        </w:trPr>
        <w:tc>
          <w:tcPr>
            <w:tcW w:w="714" w:type="dxa"/>
            <w:vMerge/>
            <w:shd w:val="clear" w:color="auto" w:fill="BDD6EE" w:themeFill="accent1" w:themeFillTint="66"/>
            <w:noWrap/>
            <w:vAlign w:val="bottom"/>
            <w:hideMark/>
          </w:tcPr>
          <w:p w14:paraId="26FB7CE4" w14:textId="77777777" w:rsidR="00461D21" w:rsidRPr="000C49BF" w:rsidRDefault="00461D21" w:rsidP="000F6F1D">
            <w:pPr>
              <w:spacing w:after="0" w:line="240" w:lineRule="auto"/>
              <w:rPr>
                <w:rFonts w:ascii="Arial" w:eastAsia="Times New Roman" w:hAnsi="Arial" w:cs="Arial"/>
                <w:color w:val="000000"/>
                <w:sz w:val="20"/>
                <w:szCs w:val="20"/>
                <w:lang w:eastAsia="es-MX"/>
              </w:rPr>
            </w:pPr>
          </w:p>
        </w:tc>
        <w:tc>
          <w:tcPr>
            <w:tcW w:w="2835" w:type="dxa"/>
            <w:shd w:val="clear" w:color="auto" w:fill="BDD6EE" w:themeFill="accent1" w:themeFillTint="66"/>
            <w:noWrap/>
            <w:vAlign w:val="bottom"/>
            <w:hideMark/>
          </w:tcPr>
          <w:p w14:paraId="18F303EF" w14:textId="77777777" w:rsidR="00461D21" w:rsidRPr="000C49BF" w:rsidRDefault="00461D21" w:rsidP="000F6F1D">
            <w:pPr>
              <w:spacing w:after="0" w:line="240" w:lineRule="auto"/>
              <w:jc w:val="center"/>
              <w:rPr>
                <w:rFonts w:ascii="Arial" w:eastAsia="Times New Roman" w:hAnsi="Arial" w:cs="Arial"/>
                <w:b/>
                <w:color w:val="000000"/>
                <w:sz w:val="20"/>
                <w:szCs w:val="20"/>
                <w:lang w:eastAsia="es-MX"/>
              </w:rPr>
            </w:pPr>
            <w:r w:rsidRPr="000C49BF">
              <w:rPr>
                <w:rFonts w:ascii="Arial" w:eastAsia="Times New Roman" w:hAnsi="Arial" w:cs="Arial"/>
                <w:b/>
                <w:color w:val="000000"/>
                <w:sz w:val="20"/>
                <w:szCs w:val="20"/>
                <w:lang w:eastAsia="es-MX"/>
              </w:rPr>
              <w:t>Padecimiento</w:t>
            </w:r>
          </w:p>
        </w:tc>
        <w:tc>
          <w:tcPr>
            <w:tcW w:w="1266" w:type="dxa"/>
            <w:shd w:val="clear" w:color="auto" w:fill="BDD6EE" w:themeFill="accent1" w:themeFillTint="66"/>
            <w:noWrap/>
            <w:vAlign w:val="bottom"/>
            <w:hideMark/>
          </w:tcPr>
          <w:p w14:paraId="3DEA97C7" w14:textId="77777777" w:rsidR="00461D21" w:rsidRPr="000C49BF" w:rsidRDefault="00461D21" w:rsidP="000F6F1D">
            <w:pPr>
              <w:spacing w:after="0" w:line="240" w:lineRule="auto"/>
              <w:jc w:val="center"/>
              <w:rPr>
                <w:rFonts w:ascii="Arial" w:eastAsia="Times New Roman" w:hAnsi="Arial" w:cs="Arial"/>
                <w:b/>
                <w:color w:val="000000"/>
                <w:sz w:val="20"/>
                <w:szCs w:val="20"/>
                <w:lang w:eastAsia="es-MX"/>
              </w:rPr>
            </w:pPr>
            <w:r w:rsidRPr="000C49BF">
              <w:rPr>
                <w:rFonts w:ascii="Arial" w:eastAsia="Times New Roman" w:hAnsi="Arial" w:cs="Arial"/>
                <w:b/>
                <w:color w:val="000000"/>
                <w:sz w:val="20"/>
                <w:szCs w:val="20"/>
                <w:lang w:eastAsia="es-MX"/>
              </w:rPr>
              <w:t>Tasa</w:t>
            </w:r>
          </w:p>
        </w:tc>
        <w:tc>
          <w:tcPr>
            <w:tcW w:w="2987" w:type="dxa"/>
            <w:shd w:val="clear" w:color="auto" w:fill="BDD6EE" w:themeFill="accent1" w:themeFillTint="66"/>
            <w:noWrap/>
            <w:vAlign w:val="bottom"/>
            <w:hideMark/>
          </w:tcPr>
          <w:p w14:paraId="6BCD90B8" w14:textId="77777777" w:rsidR="00461D21" w:rsidRPr="000C49BF" w:rsidRDefault="00461D21" w:rsidP="000F6F1D">
            <w:pPr>
              <w:spacing w:after="0" w:line="240" w:lineRule="auto"/>
              <w:jc w:val="center"/>
              <w:rPr>
                <w:rFonts w:ascii="Arial" w:eastAsia="Times New Roman" w:hAnsi="Arial" w:cs="Arial"/>
                <w:b/>
                <w:color w:val="000000"/>
                <w:sz w:val="20"/>
                <w:szCs w:val="20"/>
                <w:lang w:eastAsia="es-MX"/>
              </w:rPr>
            </w:pPr>
            <w:r w:rsidRPr="000C49BF">
              <w:rPr>
                <w:rFonts w:ascii="Arial" w:eastAsia="Times New Roman" w:hAnsi="Arial" w:cs="Arial"/>
                <w:b/>
                <w:color w:val="000000"/>
                <w:sz w:val="20"/>
                <w:szCs w:val="20"/>
                <w:lang w:eastAsia="es-MX"/>
              </w:rPr>
              <w:t>Padecimiento</w:t>
            </w:r>
          </w:p>
        </w:tc>
        <w:tc>
          <w:tcPr>
            <w:tcW w:w="1200" w:type="dxa"/>
            <w:shd w:val="clear" w:color="auto" w:fill="BDD6EE" w:themeFill="accent1" w:themeFillTint="66"/>
            <w:noWrap/>
            <w:vAlign w:val="bottom"/>
            <w:hideMark/>
          </w:tcPr>
          <w:p w14:paraId="4835E478" w14:textId="77777777" w:rsidR="00461D21" w:rsidRPr="000C49BF" w:rsidRDefault="00461D21" w:rsidP="000F6F1D">
            <w:pPr>
              <w:spacing w:after="0" w:line="240" w:lineRule="auto"/>
              <w:jc w:val="center"/>
              <w:rPr>
                <w:rFonts w:ascii="Arial" w:eastAsia="Times New Roman" w:hAnsi="Arial" w:cs="Arial"/>
                <w:b/>
                <w:color w:val="000000"/>
                <w:sz w:val="20"/>
                <w:szCs w:val="20"/>
                <w:lang w:eastAsia="es-MX"/>
              </w:rPr>
            </w:pPr>
            <w:r w:rsidRPr="000C49BF">
              <w:rPr>
                <w:rFonts w:ascii="Arial" w:eastAsia="Times New Roman" w:hAnsi="Arial" w:cs="Arial"/>
                <w:b/>
                <w:color w:val="000000"/>
                <w:sz w:val="20"/>
                <w:szCs w:val="20"/>
                <w:lang w:eastAsia="es-MX"/>
              </w:rPr>
              <w:t>Tasa</w:t>
            </w:r>
          </w:p>
        </w:tc>
      </w:tr>
      <w:tr w:rsidR="00461D21" w:rsidRPr="004409C6" w14:paraId="61BFD73D" w14:textId="77777777" w:rsidTr="000F6F1D">
        <w:trPr>
          <w:trHeight w:val="300"/>
        </w:trPr>
        <w:tc>
          <w:tcPr>
            <w:tcW w:w="714" w:type="dxa"/>
            <w:shd w:val="clear" w:color="auto" w:fill="auto"/>
            <w:noWrap/>
            <w:vAlign w:val="center"/>
            <w:hideMark/>
          </w:tcPr>
          <w:p w14:paraId="21F748F6" w14:textId="77777777" w:rsidR="00461D21" w:rsidRPr="000C49BF" w:rsidRDefault="00461D21" w:rsidP="000F6F1D">
            <w:pPr>
              <w:spacing w:after="0" w:line="240" w:lineRule="auto"/>
              <w:jc w:val="center"/>
              <w:rPr>
                <w:rFonts w:ascii="Arial" w:eastAsia="Times New Roman" w:hAnsi="Arial" w:cs="Arial"/>
                <w:b/>
                <w:i/>
                <w:color w:val="000000"/>
                <w:sz w:val="20"/>
                <w:szCs w:val="20"/>
                <w:lang w:eastAsia="es-MX"/>
              </w:rPr>
            </w:pPr>
            <w:r w:rsidRPr="000C49BF">
              <w:rPr>
                <w:rFonts w:ascii="Arial" w:eastAsia="Times New Roman" w:hAnsi="Arial" w:cs="Arial"/>
                <w:b/>
                <w:i/>
                <w:color w:val="000000"/>
                <w:sz w:val="20"/>
                <w:szCs w:val="20"/>
                <w:lang w:eastAsia="es-MX"/>
              </w:rPr>
              <w:t>1</w:t>
            </w:r>
          </w:p>
        </w:tc>
        <w:tc>
          <w:tcPr>
            <w:tcW w:w="2835" w:type="dxa"/>
            <w:shd w:val="clear" w:color="auto" w:fill="auto"/>
            <w:noWrap/>
            <w:vAlign w:val="center"/>
            <w:hideMark/>
          </w:tcPr>
          <w:p w14:paraId="26B6D278" w14:textId="77777777" w:rsidR="00461D21" w:rsidRPr="000C49BF" w:rsidRDefault="00461D21" w:rsidP="000F6F1D">
            <w:pPr>
              <w:rPr>
                <w:rFonts w:ascii="Arial" w:hAnsi="Arial" w:cs="Arial"/>
                <w:color w:val="000000"/>
                <w:sz w:val="20"/>
                <w:szCs w:val="20"/>
              </w:rPr>
            </w:pPr>
            <w:r w:rsidRPr="000C49BF">
              <w:rPr>
                <w:rFonts w:ascii="Arial" w:hAnsi="Arial" w:cs="Arial"/>
                <w:color w:val="000000"/>
                <w:sz w:val="20"/>
                <w:szCs w:val="20"/>
              </w:rPr>
              <w:t>Sepsis bacteriana del recién nacido (no especificada)</w:t>
            </w:r>
          </w:p>
        </w:tc>
        <w:tc>
          <w:tcPr>
            <w:tcW w:w="1266" w:type="dxa"/>
            <w:shd w:val="clear" w:color="auto" w:fill="auto"/>
            <w:noWrap/>
            <w:vAlign w:val="center"/>
          </w:tcPr>
          <w:p w14:paraId="4EB51BE9" w14:textId="77777777" w:rsidR="00461D21" w:rsidRPr="000C49BF" w:rsidRDefault="00461D21" w:rsidP="000F6F1D">
            <w:pPr>
              <w:jc w:val="center"/>
              <w:rPr>
                <w:rFonts w:ascii="Arial" w:hAnsi="Arial" w:cs="Arial"/>
                <w:color w:val="000000"/>
                <w:sz w:val="20"/>
                <w:szCs w:val="20"/>
              </w:rPr>
            </w:pPr>
            <w:r w:rsidRPr="000C49BF">
              <w:rPr>
                <w:rFonts w:ascii="Arial" w:hAnsi="Arial" w:cs="Arial"/>
                <w:color w:val="000000"/>
                <w:sz w:val="20"/>
                <w:szCs w:val="20"/>
              </w:rPr>
              <w:t>60.13</w:t>
            </w:r>
          </w:p>
        </w:tc>
        <w:tc>
          <w:tcPr>
            <w:tcW w:w="2987" w:type="dxa"/>
            <w:shd w:val="clear" w:color="auto" w:fill="auto"/>
            <w:noWrap/>
            <w:vAlign w:val="center"/>
            <w:hideMark/>
          </w:tcPr>
          <w:p w14:paraId="14FC9D14" w14:textId="77777777" w:rsidR="00461D21" w:rsidRPr="000C49BF" w:rsidRDefault="00461D21" w:rsidP="000F6F1D">
            <w:pPr>
              <w:rPr>
                <w:rFonts w:ascii="Arial" w:hAnsi="Arial" w:cs="Arial"/>
                <w:color w:val="000000"/>
                <w:sz w:val="20"/>
                <w:szCs w:val="20"/>
              </w:rPr>
            </w:pPr>
            <w:r w:rsidRPr="000C49BF">
              <w:rPr>
                <w:rFonts w:ascii="Arial" w:hAnsi="Arial" w:cs="Arial"/>
                <w:color w:val="000000"/>
                <w:sz w:val="20"/>
                <w:szCs w:val="20"/>
              </w:rPr>
              <w:t>Sepsis bacteriana del recién nacido (no especificada)</w:t>
            </w:r>
          </w:p>
        </w:tc>
        <w:tc>
          <w:tcPr>
            <w:tcW w:w="1200" w:type="dxa"/>
            <w:shd w:val="clear" w:color="auto" w:fill="auto"/>
            <w:noWrap/>
            <w:vAlign w:val="center"/>
          </w:tcPr>
          <w:p w14:paraId="3A22BD2A" w14:textId="77777777" w:rsidR="00461D21" w:rsidRPr="000C49BF" w:rsidRDefault="00461D21" w:rsidP="000F6F1D">
            <w:pPr>
              <w:jc w:val="center"/>
              <w:rPr>
                <w:rFonts w:ascii="Arial" w:hAnsi="Arial" w:cs="Arial"/>
                <w:color w:val="000000"/>
                <w:sz w:val="20"/>
                <w:szCs w:val="20"/>
              </w:rPr>
            </w:pPr>
            <w:r w:rsidRPr="000C49BF">
              <w:rPr>
                <w:rFonts w:ascii="Arial" w:hAnsi="Arial" w:cs="Arial"/>
                <w:color w:val="000000"/>
                <w:sz w:val="20"/>
                <w:szCs w:val="20"/>
              </w:rPr>
              <w:t>53.15</w:t>
            </w:r>
          </w:p>
        </w:tc>
      </w:tr>
      <w:tr w:rsidR="00461D21" w:rsidRPr="004409C6" w14:paraId="126FDF51" w14:textId="77777777" w:rsidTr="000F6F1D">
        <w:trPr>
          <w:trHeight w:val="300"/>
        </w:trPr>
        <w:tc>
          <w:tcPr>
            <w:tcW w:w="714" w:type="dxa"/>
            <w:shd w:val="clear" w:color="auto" w:fill="auto"/>
            <w:noWrap/>
            <w:vAlign w:val="center"/>
            <w:hideMark/>
          </w:tcPr>
          <w:p w14:paraId="17B116FB" w14:textId="77777777" w:rsidR="00461D21" w:rsidRPr="000C49BF" w:rsidRDefault="00461D21" w:rsidP="000F6F1D">
            <w:pPr>
              <w:spacing w:after="0" w:line="240" w:lineRule="auto"/>
              <w:jc w:val="center"/>
              <w:rPr>
                <w:rFonts w:ascii="Arial" w:eastAsia="Times New Roman" w:hAnsi="Arial" w:cs="Arial"/>
                <w:b/>
                <w:i/>
                <w:color w:val="000000"/>
                <w:sz w:val="20"/>
                <w:szCs w:val="20"/>
                <w:lang w:eastAsia="es-MX"/>
              </w:rPr>
            </w:pPr>
            <w:r w:rsidRPr="000C49BF">
              <w:rPr>
                <w:rFonts w:ascii="Arial" w:eastAsia="Times New Roman" w:hAnsi="Arial" w:cs="Arial"/>
                <w:b/>
                <w:i/>
                <w:color w:val="000000"/>
                <w:sz w:val="20"/>
                <w:szCs w:val="20"/>
                <w:lang w:eastAsia="es-MX"/>
              </w:rPr>
              <w:t>2</w:t>
            </w:r>
          </w:p>
        </w:tc>
        <w:tc>
          <w:tcPr>
            <w:tcW w:w="2835" w:type="dxa"/>
            <w:shd w:val="clear" w:color="auto" w:fill="auto"/>
            <w:noWrap/>
            <w:vAlign w:val="center"/>
            <w:hideMark/>
          </w:tcPr>
          <w:p w14:paraId="7FCB4A29" w14:textId="63372CEF" w:rsidR="00461D21" w:rsidRPr="000C49BF" w:rsidRDefault="000C49BF" w:rsidP="000F6F1D">
            <w:pPr>
              <w:rPr>
                <w:rFonts w:ascii="Arial" w:hAnsi="Arial" w:cs="Arial"/>
                <w:color w:val="000000"/>
                <w:sz w:val="20"/>
                <w:szCs w:val="20"/>
              </w:rPr>
            </w:pPr>
            <w:r>
              <w:rPr>
                <w:rFonts w:ascii="Arial" w:hAnsi="Arial" w:cs="Arial"/>
                <w:color w:val="000000"/>
                <w:sz w:val="20"/>
                <w:szCs w:val="20"/>
              </w:rPr>
              <w:t>Otros recién nacidos preté</w:t>
            </w:r>
            <w:r w:rsidR="00461D21" w:rsidRPr="000C49BF">
              <w:rPr>
                <w:rFonts w:ascii="Arial" w:hAnsi="Arial" w:cs="Arial"/>
                <w:color w:val="000000"/>
                <w:sz w:val="20"/>
                <w:szCs w:val="20"/>
              </w:rPr>
              <w:t>rmino</w:t>
            </w:r>
          </w:p>
        </w:tc>
        <w:tc>
          <w:tcPr>
            <w:tcW w:w="1266" w:type="dxa"/>
            <w:shd w:val="clear" w:color="auto" w:fill="auto"/>
            <w:noWrap/>
            <w:vAlign w:val="center"/>
          </w:tcPr>
          <w:p w14:paraId="34E902D4" w14:textId="77777777" w:rsidR="00461D21" w:rsidRPr="000C49BF" w:rsidRDefault="00461D21" w:rsidP="000F6F1D">
            <w:pPr>
              <w:jc w:val="center"/>
              <w:rPr>
                <w:rFonts w:ascii="Arial" w:hAnsi="Arial" w:cs="Arial"/>
                <w:color w:val="000000"/>
                <w:sz w:val="20"/>
                <w:szCs w:val="20"/>
              </w:rPr>
            </w:pPr>
            <w:r w:rsidRPr="000C49BF">
              <w:rPr>
                <w:rFonts w:ascii="Arial" w:hAnsi="Arial" w:cs="Arial"/>
                <w:color w:val="000000"/>
                <w:sz w:val="20"/>
                <w:szCs w:val="20"/>
              </w:rPr>
              <w:t>54.17</w:t>
            </w:r>
          </w:p>
        </w:tc>
        <w:tc>
          <w:tcPr>
            <w:tcW w:w="2987" w:type="dxa"/>
            <w:shd w:val="clear" w:color="auto" w:fill="auto"/>
            <w:noWrap/>
            <w:vAlign w:val="center"/>
            <w:hideMark/>
          </w:tcPr>
          <w:p w14:paraId="6A1E4346" w14:textId="084954CF" w:rsidR="00461D21" w:rsidRPr="000C49BF" w:rsidRDefault="000C49BF" w:rsidP="000F6F1D">
            <w:pPr>
              <w:rPr>
                <w:rFonts w:ascii="Arial" w:hAnsi="Arial" w:cs="Arial"/>
                <w:color w:val="000000"/>
                <w:sz w:val="20"/>
                <w:szCs w:val="20"/>
              </w:rPr>
            </w:pPr>
            <w:r>
              <w:rPr>
                <w:rFonts w:ascii="Arial" w:hAnsi="Arial" w:cs="Arial"/>
                <w:color w:val="000000"/>
                <w:sz w:val="20"/>
                <w:szCs w:val="20"/>
              </w:rPr>
              <w:t>Otros recién nacidos preté</w:t>
            </w:r>
            <w:r w:rsidR="00461D21" w:rsidRPr="000C49BF">
              <w:rPr>
                <w:rFonts w:ascii="Arial" w:hAnsi="Arial" w:cs="Arial"/>
                <w:color w:val="000000"/>
                <w:sz w:val="20"/>
                <w:szCs w:val="20"/>
              </w:rPr>
              <w:t>rmino</w:t>
            </w:r>
          </w:p>
        </w:tc>
        <w:tc>
          <w:tcPr>
            <w:tcW w:w="1200" w:type="dxa"/>
            <w:shd w:val="clear" w:color="auto" w:fill="auto"/>
            <w:noWrap/>
            <w:vAlign w:val="center"/>
          </w:tcPr>
          <w:p w14:paraId="2607C07A" w14:textId="77777777" w:rsidR="00461D21" w:rsidRPr="000C49BF" w:rsidRDefault="00461D21" w:rsidP="000F6F1D">
            <w:pPr>
              <w:jc w:val="center"/>
              <w:rPr>
                <w:rFonts w:ascii="Arial" w:hAnsi="Arial" w:cs="Arial"/>
                <w:color w:val="000000"/>
                <w:sz w:val="20"/>
                <w:szCs w:val="20"/>
              </w:rPr>
            </w:pPr>
            <w:r w:rsidRPr="000C49BF">
              <w:rPr>
                <w:rFonts w:ascii="Arial" w:hAnsi="Arial" w:cs="Arial"/>
                <w:color w:val="000000"/>
                <w:sz w:val="20"/>
                <w:szCs w:val="20"/>
              </w:rPr>
              <w:t>46.64</w:t>
            </w:r>
          </w:p>
        </w:tc>
      </w:tr>
      <w:tr w:rsidR="00461D21" w:rsidRPr="004409C6" w14:paraId="46BCC840" w14:textId="77777777" w:rsidTr="000F6F1D">
        <w:trPr>
          <w:trHeight w:val="300"/>
        </w:trPr>
        <w:tc>
          <w:tcPr>
            <w:tcW w:w="714" w:type="dxa"/>
            <w:shd w:val="clear" w:color="auto" w:fill="auto"/>
            <w:noWrap/>
            <w:vAlign w:val="center"/>
            <w:hideMark/>
          </w:tcPr>
          <w:p w14:paraId="68D6D57B" w14:textId="77777777" w:rsidR="00461D21" w:rsidRPr="000C49BF" w:rsidRDefault="00461D21" w:rsidP="000F6F1D">
            <w:pPr>
              <w:spacing w:after="0" w:line="240" w:lineRule="auto"/>
              <w:jc w:val="center"/>
              <w:rPr>
                <w:rFonts w:ascii="Arial" w:eastAsia="Times New Roman" w:hAnsi="Arial" w:cs="Arial"/>
                <w:b/>
                <w:i/>
                <w:color w:val="000000"/>
                <w:sz w:val="20"/>
                <w:szCs w:val="20"/>
                <w:lang w:eastAsia="es-MX"/>
              </w:rPr>
            </w:pPr>
            <w:r w:rsidRPr="000C49BF">
              <w:rPr>
                <w:rFonts w:ascii="Arial" w:eastAsia="Times New Roman" w:hAnsi="Arial" w:cs="Arial"/>
                <w:b/>
                <w:i/>
                <w:color w:val="000000"/>
                <w:sz w:val="20"/>
                <w:szCs w:val="20"/>
                <w:lang w:eastAsia="es-MX"/>
              </w:rPr>
              <w:t>3</w:t>
            </w:r>
          </w:p>
        </w:tc>
        <w:tc>
          <w:tcPr>
            <w:tcW w:w="2835" w:type="dxa"/>
            <w:shd w:val="clear" w:color="auto" w:fill="auto"/>
            <w:noWrap/>
            <w:vAlign w:val="center"/>
            <w:hideMark/>
          </w:tcPr>
          <w:p w14:paraId="14C8AC39" w14:textId="77777777" w:rsidR="00461D21" w:rsidRPr="000C49BF" w:rsidRDefault="00461D21" w:rsidP="000F6F1D">
            <w:pPr>
              <w:rPr>
                <w:rFonts w:ascii="Arial" w:hAnsi="Arial" w:cs="Arial"/>
                <w:color w:val="000000"/>
                <w:sz w:val="20"/>
                <w:szCs w:val="20"/>
              </w:rPr>
            </w:pPr>
            <w:r w:rsidRPr="000C49BF">
              <w:rPr>
                <w:rFonts w:ascii="Arial" w:hAnsi="Arial" w:cs="Arial"/>
                <w:color w:val="000000"/>
                <w:sz w:val="20"/>
                <w:szCs w:val="20"/>
              </w:rPr>
              <w:t>Ictericia neonatal (no especificada)</w:t>
            </w:r>
          </w:p>
        </w:tc>
        <w:tc>
          <w:tcPr>
            <w:tcW w:w="1266" w:type="dxa"/>
            <w:shd w:val="clear" w:color="auto" w:fill="auto"/>
            <w:noWrap/>
            <w:vAlign w:val="center"/>
          </w:tcPr>
          <w:p w14:paraId="7183C6B1" w14:textId="77777777" w:rsidR="00461D21" w:rsidRPr="000C49BF" w:rsidRDefault="00461D21" w:rsidP="000F6F1D">
            <w:pPr>
              <w:jc w:val="center"/>
              <w:rPr>
                <w:rFonts w:ascii="Arial" w:hAnsi="Arial" w:cs="Arial"/>
                <w:color w:val="000000"/>
                <w:sz w:val="20"/>
                <w:szCs w:val="20"/>
              </w:rPr>
            </w:pPr>
            <w:r w:rsidRPr="000C49BF">
              <w:rPr>
                <w:rFonts w:ascii="Arial" w:hAnsi="Arial" w:cs="Arial"/>
                <w:color w:val="000000"/>
                <w:sz w:val="20"/>
                <w:szCs w:val="20"/>
              </w:rPr>
              <w:t>46.11</w:t>
            </w:r>
          </w:p>
        </w:tc>
        <w:tc>
          <w:tcPr>
            <w:tcW w:w="2987" w:type="dxa"/>
            <w:shd w:val="clear" w:color="auto" w:fill="auto"/>
            <w:noWrap/>
            <w:vAlign w:val="center"/>
            <w:hideMark/>
          </w:tcPr>
          <w:p w14:paraId="676A7926" w14:textId="77777777" w:rsidR="00461D21" w:rsidRPr="000C49BF" w:rsidRDefault="00461D21" w:rsidP="000F6F1D">
            <w:pPr>
              <w:rPr>
                <w:rFonts w:ascii="Arial" w:hAnsi="Arial" w:cs="Arial"/>
                <w:color w:val="000000"/>
                <w:sz w:val="20"/>
                <w:szCs w:val="20"/>
              </w:rPr>
            </w:pPr>
            <w:r w:rsidRPr="000C49BF">
              <w:rPr>
                <w:rFonts w:ascii="Arial" w:hAnsi="Arial" w:cs="Arial"/>
                <w:color w:val="000000"/>
                <w:sz w:val="20"/>
                <w:szCs w:val="20"/>
              </w:rPr>
              <w:t>Ictericia neonatal (no especificada)</w:t>
            </w:r>
          </w:p>
        </w:tc>
        <w:tc>
          <w:tcPr>
            <w:tcW w:w="1200" w:type="dxa"/>
            <w:shd w:val="clear" w:color="auto" w:fill="auto"/>
            <w:noWrap/>
            <w:vAlign w:val="center"/>
          </w:tcPr>
          <w:p w14:paraId="7AB68297" w14:textId="77777777" w:rsidR="00461D21" w:rsidRPr="000C49BF" w:rsidRDefault="00461D21" w:rsidP="000F6F1D">
            <w:pPr>
              <w:jc w:val="center"/>
              <w:rPr>
                <w:rFonts w:ascii="Arial" w:hAnsi="Arial" w:cs="Arial"/>
                <w:color w:val="000000"/>
                <w:sz w:val="20"/>
                <w:szCs w:val="20"/>
              </w:rPr>
            </w:pPr>
            <w:r w:rsidRPr="000C49BF">
              <w:rPr>
                <w:rFonts w:ascii="Arial" w:hAnsi="Arial" w:cs="Arial"/>
                <w:color w:val="000000"/>
                <w:sz w:val="20"/>
                <w:szCs w:val="20"/>
              </w:rPr>
              <w:t>40.69</w:t>
            </w:r>
          </w:p>
        </w:tc>
      </w:tr>
      <w:tr w:rsidR="00461D21" w:rsidRPr="004409C6" w14:paraId="1BB335F2" w14:textId="77777777" w:rsidTr="000F6F1D">
        <w:trPr>
          <w:trHeight w:val="300"/>
        </w:trPr>
        <w:tc>
          <w:tcPr>
            <w:tcW w:w="714" w:type="dxa"/>
            <w:shd w:val="clear" w:color="auto" w:fill="auto"/>
            <w:noWrap/>
            <w:vAlign w:val="center"/>
            <w:hideMark/>
          </w:tcPr>
          <w:p w14:paraId="535B2095" w14:textId="77777777" w:rsidR="00461D21" w:rsidRPr="000C49BF" w:rsidRDefault="00461D21" w:rsidP="000F6F1D">
            <w:pPr>
              <w:spacing w:after="0" w:line="240" w:lineRule="auto"/>
              <w:jc w:val="center"/>
              <w:rPr>
                <w:rFonts w:ascii="Arial" w:eastAsia="Times New Roman" w:hAnsi="Arial" w:cs="Arial"/>
                <w:b/>
                <w:i/>
                <w:color w:val="000000"/>
                <w:sz w:val="20"/>
                <w:szCs w:val="20"/>
                <w:lang w:eastAsia="es-MX"/>
              </w:rPr>
            </w:pPr>
            <w:r w:rsidRPr="000C49BF">
              <w:rPr>
                <w:rFonts w:ascii="Arial" w:eastAsia="Times New Roman" w:hAnsi="Arial" w:cs="Arial"/>
                <w:b/>
                <w:i/>
                <w:color w:val="000000"/>
                <w:sz w:val="20"/>
                <w:szCs w:val="20"/>
                <w:lang w:eastAsia="es-MX"/>
              </w:rPr>
              <w:t>4</w:t>
            </w:r>
          </w:p>
        </w:tc>
        <w:tc>
          <w:tcPr>
            <w:tcW w:w="2835" w:type="dxa"/>
            <w:shd w:val="clear" w:color="auto" w:fill="auto"/>
            <w:noWrap/>
            <w:vAlign w:val="center"/>
            <w:hideMark/>
          </w:tcPr>
          <w:p w14:paraId="69FDCC18" w14:textId="77777777" w:rsidR="00461D21" w:rsidRPr="000C49BF" w:rsidRDefault="00461D21" w:rsidP="000F6F1D">
            <w:pPr>
              <w:rPr>
                <w:rFonts w:ascii="Arial" w:hAnsi="Arial" w:cs="Arial"/>
                <w:color w:val="000000"/>
                <w:sz w:val="20"/>
                <w:szCs w:val="20"/>
              </w:rPr>
            </w:pPr>
            <w:r w:rsidRPr="000C49BF">
              <w:rPr>
                <w:rFonts w:ascii="Arial" w:hAnsi="Arial" w:cs="Arial"/>
                <w:color w:val="000000"/>
                <w:sz w:val="20"/>
                <w:szCs w:val="20"/>
              </w:rPr>
              <w:t>Síndrome de dificultad respiratoria del recién nacido</w:t>
            </w:r>
          </w:p>
        </w:tc>
        <w:tc>
          <w:tcPr>
            <w:tcW w:w="1266" w:type="dxa"/>
            <w:shd w:val="clear" w:color="auto" w:fill="auto"/>
            <w:noWrap/>
            <w:vAlign w:val="center"/>
          </w:tcPr>
          <w:p w14:paraId="488B9800" w14:textId="77777777" w:rsidR="00461D21" w:rsidRPr="000C49BF" w:rsidRDefault="00461D21" w:rsidP="000F6F1D">
            <w:pPr>
              <w:jc w:val="center"/>
              <w:rPr>
                <w:rFonts w:ascii="Arial" w:hAnsi="Arial" w:cs="Arial"/>
                <w:color w:val="000000"/>
                <w:sz w:val="20"/>
                <w:szCs w:val="20"/>
              </w:rPr>
            </w:pPr>
            <w:r w:rsidRPr="000C49BF">
              <w:rPr>
                <w:rFonts w:ascii="Arial" w:hAnsi="Arial" w:cs="Arial"/>
                <w:color w:val="000000"/>
                <w:sz w:val="20"/>
                <w:szCs w:val="20"/>
              </w:rPr>
              <w:t>36.20</w:t>
            </w:r>
          </w:p>
        </w:tc>
        <w:tc>
          <w:tcPr>
            <w:tcW w:w="2987" w:type="dxa"/>
            <w:shd w:val="clear" w:color="auto" w:fill="auto"/>
            <w:noWrap/>
            <w:vAlign w:val="center"/>
            <w:hideMark/>
          </w:tcPr>
          <w:p w14:paraId="2E530554" w14:textId="77777777" w:rsidR="00461D21" w:rsidRPr="000C49BF" w:rsidRDefault="00461D21" w:rsidP="000F6F1D">
            <w:pPr>
              <w:rPr>
                <w:rFonts w:ascii="Arial" w:hAnsi="Arial" w:cs="Arial"/>
                <w:color w:val="000000"/>
                <w:sz w:val="20"/>
                <w:szCs w:val="20"/>
              </w:rPr>
            </w:pPr>
            <w:r w:rsidRPr="000C49BF">
              <w:rPr>
                <w:rFonts w:ascii="Arial" w:hAnsi="Arial" w:cs="Arial"/>
                <w:color w:val="000000"/>
                <w:sz w:val="20"/>
                <w:szCs w:val="20"/>
              </w:rPr>
              <w:t>Síndrome de dificultad respiratoria del recién nacido</w:t>
            </w:r>
          </w:p>
        </w:tc>
        <w:tc>
          <w:tcPr>
            <w:tcW w:w="1200" w:type="dxa"/>
            <w:shd w:val="clear" w:color="auto" w:fill="auto"/>
            <w:noWrap/>
            <w:vAlign w:val="center"/>
          </w:tcPr>
          <w:p w14:paraId="42002C60" w14:textId="77777777" w:rsidR="00461D21" w:rsidRPr="000C49BF" w:rsidRDefault="00461D21" w:rsidP="000F6F1D">
            <w:pPr>
              <w:jc w:val="center"/>
              <w:rPr>
                <w:rFonts w:ascii="Arial" w:hAnsi="Arial" w:cs="Arial"/>
                <w:color w:val="000000"/>
                <w:sz w:val="20"/>
                <w:szCs w:val="20"/>
              </w:rPr>
            </w:pPr>
            <w:r w:rsidRPr="000C49BF">
              <w:rPr>
                <w:rFonts w:ascii="Arial" w:hAnsi="Arial" w:cs="Arial"/>
                <w:color w:val="000000"/>
                <w:sz w:val="20"/>
                <w:szCs w:val="20"/>
              </w:rPr>
              <w:t>26.74</w:t>
            </w:r>
          </w:p>
        </w:tc>
      </w:tr>
      <w:tr w:rsidR="00461D21" w:rsidRPr="004409C6" w14:paraId="7F7B7C79" w14:textId="77777777" w:rsidTr="000F6F1D">
        <w:trPr>
          <w:trHeight w:val="300"/>
        </w:trPr>
        <w:tc>
          <w:tcPr>
            <w:tcW w:w="714" w:type="dxa"/>
            <w:shd w:val="clear" w:color="auto" w:fill="auto"/>
            <w:noWrap/>
            <w:vAlign w:val="center"/>
            <w:hideMark/>
          </w:tcPr>
          <w:p w14:paraId="45293AF0" w14:textId="77777777" w:rsidR="00461D21" w:rsidRPr="000C49BF" w:rsidRDefault="00461D21" w:rsidP="000F6F1D">
            <w:pPr>
              <w:spacing w:after="0" w:line="240" w:lineRule="auto"/>
              <w:jc w:val="center"/>
              <w:rPr>
                <w:rFonts w:ascii="Arial" w:eastAsia="Times New Roman" w:hAnsi="Arial" w:cs="Arial"/>
                <w:b/>
                <w:i/>
                <w:color w:val="000000"/>
                <w:sz w:val="20"/>
                <w:szCs w:val="20"/>
                <w:lang w:eastAsia="es-MX"/>
              </w:rPr>
            </w:pPr>
            <w:r w:rsidRPr="000C49BF">
              <w:rPr>
                <w:rFonts w:ascii="Arial" w:eastAsia="Times New Roman" w:hAnsi="Arial" w:cs="Arial"/>
                <w:b/>
                <w:i/>
                <w:color w:val="000000"/>
                <w:sz w:val="20"/>
                <w:szCs w:val="20"/>
                <w:lang w:eastAsia="es-MX"/>
              </w:rPr>
              <w:t>5</w:t>
            </w:r>
          </w:p>
        </w:tc>
        <w:tc>
          <w:tcPr>
            <w:tcW w:w="2835" w:type="dxa"/>
            <w:shd w:val="clear" w:color="auto" w:fill="auto"/>
            <w:noWrap/>
            <w:vAlign w:val="center"/>
            <w:hideMark/>
          </w:tcPr>
          <w:p w14:paraId="59C6E19A" w14:textId="77777777" w:rsidR="00461D21" w:rsidRPr="000C49BF" w:rsidRDefault="00461D21" w:rsidP="000F6F1D">
            <w:pPr>
              <w:rPr>
                <w:rFonts w:ascii="Arial" w:hAnsi="Arial" w:cs="Arial"/>
                <w:color w:val="000000"/>
                <w:sz w:val="20"/>
                <w:szCs w:val="20"/>
              </w:rPr>
            </w:pPr>
            <w:r w:rsidRPr="000C49BF">
              <w:rPr>
                <w:rFonts w:ascii="Arial" w:hAnsi="Arial" w:cs="Arial"/>
                <w:color w:val="000000"/>
                <w:sz w:val="20"/>
                <w:szCs w:val="20"/>
              </w:rPr>
              <w:t>Taquipnea transitoria del recién nacido</w:t>
            </w:r>
          </w:p>
        </w:tc>
        <w:tc>
          <w:tcPr>
            <w:tcW w:w="1266" w:type="dxa"/>
            <w:shd w:val="clear" w:color="auto" w:fill="auto"/>
            <w:noWrap/>
            <w:vAlign w:val="center"/>
          </w:tcPr>
          <w:p w14:paraId="3DC9B7AC" w14:textId="77777777" w:rsidR="00461D21" w:rsidRPr="000C49BF" w:rsidRDefault="00461D21" w:rsidP="000F6F1D">
            <w:pPr>
              <w:jc w:val="center"/>
              <w:rPr>
                <w:rFonts w:ascii="Arial" w:hAnsi="Arial" w:cs="Arial"/>
                <w:color w:val="000000"/>
                <w:sz w:val="20"/>
                <w:szCs w:val="20"/>
              </w:rPr>
            </w:pPr>
            <w:r w:rsidRPr="000C49BF">
              <w:rPr>
                <w:rFonts w:ascii="Arial" w:hAnsi="Arial" w:cs="Arial"/>
                <w:color w:val="000000"/>
                <w:sz w:val="20"/>
                <w:szCs w:val="20"/>
              </w:rPr>
              <w:t>32.78</w:t>
            </w:r>
          </w:p>
        </w:tc>
        <w:tc>
          <w:tcPr>
            <w:tcW w:w="2987" w:type="dxa"/>
            <w:shd w:val="clear" w:color="auto" w:fill="auto"/>
            <w:noWrap/>
            <w:vAlign w:val="center"/>
            <w:hideMark/>
          </w:tcPr>
          <w:p w14:paraId="7E981C72" w14:textId="77777777" w:rsidR="00461D21" w:rsidRPr="000C49BF" w:rsidRDefault="00461D21" w:rsidP="000F6F1D">
            <w:pPr>
              <w:rPr>
                <w:rFonts w:ascii="Arial" w:hAnsi="Arial" w:cs="Arial"/>
                <w:color w:val="000000"/>
                <w:sz w:val="20"/>
                <w:szCs w:val="20"/>
              </w:rPr>
            </w:pPr>
            <w:r w:rsidRPr="000C49BF">
              <w:rPr>
                <w:rFonts w:ascii="Arial" w:hAnsi="Arial" w:cs="Arial"/>
                <w:color w:val="000000"/>
                <w:sz w:val="20"/>
                <w:szCs w:val="20"/>
              </w:rPr>
              <w:t>Taquipnea transitoria del recién nacido</w:t>
            </w:r>
          </w:p>
        </w:tc>
        <w:tc>
          <w:tcPr>
            <w:tcW w:w="1200" w:type="dxa"/>
            <w:shd w:val="clear" w:color="auto" w:fill="auto"/>
            <w:noWrap/>
            <w:vAlign w:val="center"/>
          </w:tcPr>
          <w:p w14:paraId="2C882EE3" w14:textId="77777777" w:rsidR="00461D21" w:rsidRPr="000C49BF" w:rsidRDefault="00461D21" w:rsidP="000F6F1D">
            <w:pPr>
              <w:jc w:val="center"/>
              <w:rPr>
                <w:rFonts w:ascii="Arial" w:hAnsi="Arial" w:cs="Arial"/>
                <w:color w:val="000000"/>
                <w:sz w:val="20"/>
                <w:szCs w:val="20"/>
              </w:rPr>
            </w:pPr>
            <w:r w:rsidRPr="000C49BF">
              <w:rPr>
                <w:rFonts w:ascii="Arial" w:hAnsi="Arial" w:cs="Arial"/>
                <w:color w:val="000000"/>
                <w:sz w:val="20"/>
                <w:szCs w:val="20"/>
              </w:rPr>
              <w:t>21.87</w:t>
            </w:r>
          </w:p>
        </w:tc>
      </w:tr>
      <w:tr w:rsidR="00461D21" w:rsidRPr="004409C6" w14:paraId="582332BF" w14:textId="77777777" w:rsidTr="000F6F1D">
        <w:trPr>
          <w:trHeight w:val="300"/>
        </w:trPr>
        <w:tc>
          <w:tcPr>
            <w:tcW w:w="714" w:type="dxa"/>
            <w:shd w:val="clear" w:color="auto" w:fill="auto"/>
            <w:noWrap/>
            <w:vAlign w:val="center"/>
            <w:hideMark/>
          </w:tcPr>
          <w:p w14:paraId="3F632F22" w14:textId="77777777" w:rsidR="00461D21" w:rsidRPr="000C49BF" w:rsidRDefault="00461D21" w:rsidP="000F6F1D">
            <w:pPr>
              <w:spacing w:after="0" w:line="240" w:lineRule="auto"/>
              <w:jc w:val="center"/>
              <w:rPr>
                <w:rFonts w:ascii="Arial" w:eastAsia="Times New Roman" w:hAnsi="Arial" w:cs="Arial"/>
                <w:b/>
                <w:i/>
                <w:color w:val="000000"/>
                <w:sz w:val="20"/>
                <w:szCs w:val="20"/>
                <w:lang w:eastAsia="es-MX"/>
              </w:rPr>
            </w:pPr>
            <w:r w:rsidRPr="000C49BF">
              <w:rPr>
                <w:rFonts w:ascii="Arial" w:eastAsia="Times New Roman" w:hAnsi="Arial" w:cs="Arial"/>
                <w:b/>
                <w:i/>
                <w:color w:val="000000"/>
                <w:sz w:val="20"/>
                <w:szCs w:val="20"/>
                <w:lang w:eastAsia="es-MX"/>
              </w:rPr>
              <w:t>6</w:t>
            </w:r>
          </w:p>
        </w:tc>
        <w:tc>
          <w:tcPr>
            <w:tcW w:w="2835" w:type="dxa"/>
            <w:shd w:val="clear" w:color="auto" w:fill="auto"/>
            <w:noWrap/>
            <w:vAlign w:val="center"/>
            <w:hideMark/>
          </w:tcPr>
          <w:p w14:paraId="5B140AE2" w14:textId="77777777" w:rsidR="00461D21" w:rsidRPr="000C49BF" w:rsidRDefault="00461D21" w:rsidP="000F6F1D">
            <w:pPr>
              <w:rPr>
                <w:rFonts w:ascii="Arial" w:hAnsi="Arial" w:cs="Arial"/>
                <w:color w:val="000000"/>
                <w:sz w:val="20"/>
                <w:szCs w:val="20"/>
              </w:rPr>
            </w:pPr>
            <w:r w:rsidRPr="000C49BF">
              <w:rPr>
                <w:rFonts w:ascii="Arial" w:hAnsi="Arial" w:cs="Arial"/>
                <w:color w:val="000000"/>
                <w:sz w:val="20"/>
                <w:szCs w:val="20"/>
              </w:rPr>
              <w:t>Dificultad respiratoria del recién nacido (no especificada)</w:t>
            </w:r>
          </w:p>
        </w:tc>
        <w:tc>
          <w:tcPr>
            <w:tcW w:w="1266" w:type="dxa"/>
            <w:shd w:val="clear" w:color="auto" w:fill="auto"/>
            <w:noWrap/>
            <w:vAlign w:val="center"/>
          </w:tcPr>
          <w:p w14:paraId="2AF270A5" w14:textId="77777777" w:rsidR="00461D21" w:rsidRPr="000C49BF" w:rsidRDefault="00461D21" w:rsidP="000F6F1D">
            <w:pPr>
              <w:jc w:val="center"/>
              <w:rPr>
                <w:rFonts w:ascii="Arial" w:hAnsi="Arial" w:cs="Arial"/>
                <w:color w:val="000000"/>
                <w:sz w:val="20"/>
                <w:szCs w:val="20"/>
              </w:rPr>
            </w:pPr>
            <w:r w:rsidRPr="000C49BF">
              <w:rPr>
                <w:rFonts w:ascii="Arial" w:hAnsi="Arial" w:cs="Arial"/>
                <w:color w:val="000000"/>
                <w:sz w:val="20"/>
                <w:szCs w:val="20"/>
              </w:rPr>
              <w:t>21.74</w:t>
            </w:r>
          </w:p>
        </w:tc>
        <w:tc>
          <w:tcPr>
            <w:tcW w:w="2987" w:type="dxa"/>
            <w:shd w:val="clear" w:color="auto" w:fill="auto"/>
            <w:noWrap/>
            <w:vAlign w:val="center"/>
          </w:tcPr>
          <w:p w14:paraId="31D83D0A" w14:textId="77777777" w:rsidR="00461D21" w:rsidRPr="000C49BF" w:rsidRDefault="00461D21" w:rsidP="000F6F1D">
            <w:pPr>
              <w:spacing w:after="0" w:line="240" w:lineRule="auto"/>
              <w:rPr>
                <w:rFonts w:ascii="Arial" w:eastAsia="Times New Roman" w:hAnsi="Arial" w:cs="Arial"/>
                <w:color w:val="000000"/>
                <w:sz w:val="20"/>
                <w:szCs w:val="20"/>
                <w:lang w:eastAsia="es-MX"/>
              </w:rPr>
            </w:pPr>
            <w:r w:rsidRPr="000C49BF">
              <w:rPr>
                <w:rFonts w:ascii="Arial" w:hAnsi="Arial" w:cs="Arial"/>
                <w:color w:val="000000"/>
                <w:sz w:val="20"/>
                <w:szCs w:val="20"/>
              </w:rPr>
              <w:t>Otros síntomas y signos generales especificados</w:t>
            </w:r>
          </w:p>
        </w:tc>
        <w:tc>
          <w:tcPr>
            <w:tcW w:w="1200" w:type="dxa"/>
            <w:shd w:val="clear" w:color="auto" w:fill="auto"/>
            <w:noWrap/>
            <w:vAlign w:val="center"/>
          </w:tcPr>
          <w:p w14:paraId="4FAA6CF7" w14:textId="77777777" w:rsidR="00461D21" w:rsidRPr="000C49BF" w:rsidRDefault="00461D21" w:rsidP="000F6F1D">
            <w:pPr>
              <w:jc w:val="center"/>
              <w:rPr>
                <w:rFonts w:ascii="Arial" w:hAnsi="Arial" w:cs="Arial"/>
                <w:color w:val="000000"/>
                <w:sz w:val="20"/>
                <w:szCs w:val="20"/>
              </w:rPr>
            </w:pPr>
            <w:r w:rsidRPr="000C49BF">
              <w:rPr>
                <w:rFonts w:ascii="Arial" w:hAnsi="Arial" w:cs="Arial"/>
                <w:color w:val="000000"/>
                <w:sz w:val="20"/>
                <w:szCs w:val="20"/>
              </w:rPr>
              <w:t>17.80</w:t>
            </w:r>
          </w:p>
        </w:tc>
      </w:tr>
      <w:tr w:rsidR="00461D21" w:rsidRPr="004409C6" w14:paraId="781D5B66" w14:textId="77777777" w:rsidTr="000F6F1D">
        <w:trPr>
          <w:trHeight w:val="300"/>
        </w:trPr>
        <w:tc>
          <w:tcPr>
            <w:tcW w:w="714" w:type="dxa"/>
            <w:shd w:val="clear" w:color="auto" w:fill="auto"/>
            <w:noWrap/>
            <w:vAlign w:val="center"/>
            <w:hideMark/>
          </w:tcPr>
          <w:p w14:paraId="595E9C42" w14:textId="77777777" w:rsidR="00461D21" w:rsidRPr="000C49BF" w:rsidRDefault="00461D21" w:rsidP="000F6F1D">
            <w:pPr>
              <w:spacing w:after="0" w:line="240" w:lineRule="auto"/>
              <w:jc w:val="center"/>
              <w:rPr>
                <w:rFonts w:ascii="Arial" w:eastAsia="Times New Roman" w:hAnsi="Arial" w:cs="Arial"/>
                <w:b/>
                <w:i/>
                <w:color w:val="000000"/>
                <w:sz w:val="20"/>
                <w:szCs w:val="20"/>
                <w:lang w:eastAsia="es-MX"/>
              </w:rPr>
            </w:pPr>
            <w:r w:rsidRPr="000C49BF">
              <w:rPr>
                <w:rFonts w:ascii="Arial" w:eastAsia="Times New Roman" w:hAnsi="Arial" w:cs="Arial"/>
                <w:b/>
                <w:i/>
                <w:color w:val="000000"/>
                <w:sz w:val="20"/>
                <w:szCs w:val="20"/>
                <w:lang w:eastAsia="es-MX"/>
              </w:rPr>
              <w:t>7</w:t>
            </w:r>
          </w:p>
        </w:tc>
        <w:tc>
          <w:tcPr>
            <w:tcW w:w="2835" w:type="dxa"/>
            <w:shd w:val="clear" w:color="auto" w:fill="auto"/>
            <w:noWrap/>
            <w:vAlign w:val="center"/>
            <w:hideMark/>
          </w:tcPr>
          <w:p w14:paraId="1D9D65C6" w14:textId="77777777" w:rsidR="00461D21" w:rsidRPr="000C49BF" w:rsidRDefault="00461D21" w:rsidP="000F6F1D">
            <w:pPr>
              <w:rPr>
                <w:rFonts w:ascii="Arial" w:hAnsi="Arial" w:cs="Arial"/>
                <w:color w:val="000000"/>
                <w:sz w:val="20"/>
                <w:szCs w:val="20"/>
              </w:rPr>
            </w:pPr>
            <w:r w:rsidRPr="000C49BF">
              <w:rPr>
                <w:rFonts w:ascii="Arial" w:hAnsi="Arial" w:cs="Arial"/>
                <w:color w:val="000000"/>
                <w:sz w:val="20"/>
                <w:szCs w:val="20"/>
              </w:rPr>
              <w:t>Asfixia del nacimiento (no especificada)</w:t>
            </w:r>
          </w:p>
        </w:tc>
        <w:tc>
          <w:tcPr>
            <w:tcW w:w="1266" w:type="dxa"/>
            <w:shd w:val="clear" w:color="auto" w:fill="auto"/>
            <w:noWrap/>
            <w:vAlign w:val="center"/>
          </w:tcPr>
          <w:p w14:paraId="3A560F95" w14:textId="77777777" w:rsidR="00461D21" w:rsidRPr="000C49BF" w:rsidRDefault="00461D21" w:rsidP="000F6F1D">
            <w:pPr>
              <w:jc w:val="center"/>
              <w:rPr>
                <w:rFonts w:ascii="Arial" w:hAnsi="Arial" w:cs="Arial"/>
                <w:color w:val="000000"/>
                <w:sz w:val="20"/>
                <w:szCs w:val="20"/>
              </w:rPr>
            </w:pPr>
            <w:r w:rsidRPr="000C49BF">
              <w:rPr>
                <w:rFonts w:ascii="Arial" w:hAnsi="Arial" w:cs="Arial"/>
                <w:color w:val="000000"/>
                <w:sz w:val="20"/>
                <w:szCs w:val="20"/>
              </w:rPr>
              <w:t>17.46</w:t>
            </w:r>
          </w:p>
        </w:tc>
        <w:tc>
          <w:tcPr>
            <w:tcW w:w="2987" w:type="dxa"/>
            <w:shd w:val="clear" w:color="auto" w:fill="auto"/>
            <w:noWrap/>
            <w:vAlign w:val="center"/>
          </w:tcPr>
          <w:p w14:paraId="12A098E1" w14:textId="77777777" w:rsidR="00461D21" w:rsidRPr="000C49BF" w:rsidRDefault="00461D21" w:rsidP="000F6F1D">
            <w:pPr>
              <w:spacing w:after="0" w:line="240" w:lineRule="auto"/>
              <w:rPr>
                <w:rFonts w:ascii="Arial" w:eastAsia="Times New Roman" w:hAnsi="Arial" w:cs="Arial"/>
                <w:color w:val="000000"/>
                <w:sz w:val="20"/>
                <w:szCs w:val="20"/>
                <w:lang w:eastAsia="es-MX"/>
              </w:rPr>
            </w:pPr>
            <w:r w:rsidRPr="000C49BF">
              <w:rPr>
                <w:rFonts w:ascii="Arial" w:hAnsi="Arial" w:cs="Arial"/>
                <w:color w:val="000000"/>
                <w:sz w:val="20"/>
                <w:szCs w:val="20"/>
              </w:rPr>
              <w:t>Dificultad respiratoria del recién nacido (no especificada)</w:t>
            </w:r>
          </w:p>
        </w:tc>
        <w:tc>
          <w:tcPr>
            <w:tcW w:w="1200" w:type="dxa"/>
            <w:shd w:val="clear" w:color="auto" w:fill="auto"/>
            <w:noWrap/>
            <w:vAlign w:val="center"/>
          </w:tcPr>
          <w:p w14:paraId="3615A9BC" w14:textId="77777777" w:rsidR="00461D21" w:rsidRPr="000C49BF" w:rsidRDefault="00461D21" w:rsidP="000F6F1D">
            <w:pPr>
              <w:jc w:val="center"/>
              <w:rPr>
                <w:rFonts w:ascii="Arial" w:hAnsi="Arial" w:cs="Arial"/>
                <w:color w:val="000000"/>
                <w:sz w:val="20"/>
                <w:szCs w:val="20"/>
              </w:rPr>
            </w:pPr>
            <w:r w:rsidRPr="000C49BF">
              <w:rPr>
                <w:rFonts w:ascii="Arial" w:hAnsi="Arial" w:cs="Arial"/>
                <w:color w:val="000000"/>
                <w:sz w:val="20"/>
                <w:szCs w:val="20"/>
              </w:rPr>
              <w:t>16.19</w:t>
            </w:r>
          </w:p>
        </w:tc>
      </w:tr>
      <w:tr w:rsidR="00461D21" w:rsidRPr="004409C6" w14:paraId="63E84E3A" w14:textId="77777777" w:rsidTr="000F6F1D">
        <w:trPr>
          <w:trHeight w:val="300"/>
        </w:trPr>
        <w:tc>
          <w:tcPr>
            <w:tcW w:w="714" w:type="dxa"/>
            <w:shd w:val="clear" w:color="auto" w:fill="auto"/>
            <w:noWrap/>
            <w:vAlign w:val="center"/>
            <w:hideMark/>
          </w:tcPr>
          <w:p w14:paraId="19484A8C" w14:textId="77777777" w:rsidR="00461D21" w:rsidRPr="000C49BF" w:rsidRDefault="00461D21" w:rsidP="000F6F1D">
            <w:pPr>
              <w:spacing w:after="0" w:line="240" w:lineRule="auto"/>
              <w:jc w:val="center"/>
              <w:rPr>
                <w:rFonts w:ascii="Arial" w:eastAsia="Times New Roman" w:hAnsi="Arial" w:cs="Arial"/>
                <w:b/>
                <w:i/>
                <w:color w:val="000000"/>
                <w:sz w:val="20"/>
                <w:szCs w:val="20"/>
                <w:lang w:eastAsia="es-MX"/>
              </w:rPr>
            </w:pPr>
            <w:r w:rsidRPr="000C49BF">
              <w:rPr>
                <w:rFonts w:ascii="Arial" w:eastAsia="Times New Roman" w:hAnsi="Arial" w:cs="Arial"/>
                <w:b/>
                <w:i/>
                <w:color w:val="000000"/>
                <w:sz w:val="20"/>
                <w:szCs w:val="20"/>
                <w:lang w:eastAsia="es-MX"/>
              </w:rPr>
              <w:lastRenderedPageBreak/>
              <w:t>8</w:t>
            </w:r>
          </w:p>
        </w:tc>
        <w:tc>
          <w:tcPr>
            <w:tcW w:w="2835" w:type="dxa"/>
            <w:shd w:val="clear" w:color="auto" w:fill="auto"/>
            <w:noWrap/>
            <w:vAlign w:val="center"/>
            <w:hideMark/>
          </w:tcPr>
          <w:p w14:paraId="0560A552" w14:textId="77777777" w:rsidR="00461D21" w:rsidRPr="000C49BF" w:rsidRDefault="00461D21" w:rsidP="000F6F1D">
            <w:pPr>
              <w:rPr>
                <w:rFonts w:ascii="Arial" w:hAnsi="Arial" w:cs="Arial"/>
                <w:color w:val="000000"/>
                <w:sz w:val="20"/>
                <w:szCs w:val="20"/>
              </w:rPr>
            </w:pPr>
            <w:r w:rsidRPr="000C49BF">
              <w:rPr>
                <w:rFonts w:ascii="Arial" w:hAnsi="Arial" w:cs="Arial"/>
                <w:color w:val="000000"/>
                <w:sz w:val="20"/>
                <w:szCs w:val="20"/>
              </w:rPr>
              <w:t>Otros síntomas y signos generales especificados</w:t>
            </w:r>
          </w:p>
        </w:tc>
        <w:tc>
          <w:tcPr>
            <w:tcW w:w="1266" w:type="dxa"/>
            <w:shd w:val="clear" w:color="auto" w:fill="auto"/>
            <w:noWrap/>
            <w:vAlign w:val="center"/>
          </w:tcPr>
          <w:p w14:paraId="67B2E0B3" w14:textId="77777777" w:rsidR="00461D21" w:rsidRPr="000C49BF" w:rsidRDefault="00461D21" w:rsidP="000F6F1D">
            <w:pPr>
              <w:jc w:val="center"/>
              <w:rPr>
                <w:rFonts w:ascii="Arial" w:hAnsi="Arial" w:cs="Arial"/>
                <w:color w:val="000000"/>
                <w:sz w:val="20"/>
                <w:szCs w:val="20"/>
              </w:rPr>
            </w:pPr>
            <w:r w:rsidRPr="000C49BF">
              <w:rPr>
                <w:rFonts w:ascii="Arial" w:hAnsi="Arial" w:cs="Arial"/>
                <w:color w:val="000000"/>
                <w:sz w:val="20"/>
                <w:szCs w:val="20"/>
              </w:rPr>
              <w:t>17.27</w:t>
            </w:r>
          </w:p>
        </w:tc>
        <w:tc>
          <w:tcPr>
            <w:tcW w:w="2987" w:type="dxa"/>
            <w:shd w:val="clear" w:color="auto" w:fill="auto"/>
            <w:noWrap/>
            <w:vAlign w:val="center"/>
          </w:tcPr>
          <w:p w14:paraId="54632FC8" w14:textId="77777777" w:rsidR="00461D21" w:rsidRPr="000C49BF" w:rsidRDefault="00461D21" w:rsidP="000F6F1D">
            <w:pPr>
              <w:spacing w:after="0" w:line="240" w:lineRule="auto"/>
              <w:rPr>
                <w:rFonts w:ascii="Arial" w:eastAsia="Times New Roman" w:hAnsi="Arial" w:cs="Arial"/>
                <w:color w:val="000000"/>
                <w:sz w:val="20"/>
                <w:szCs w:val="20"/>
                <w:lang w:eastAsia="es-MX"/>
              </w:rPr>
            </w:pPr>
            <w:r w:rsidRPr="000C49BF">
              <w:rPr>
                <w:rFonts w:ascii="Arial" w:hAnsi="Arial" w:cs="Arial"/>
                <w:color w:val="000000"/>
                <w:sz w:val="20"/>
                <w:szCs w:val="20"/>
              </w:rPr>
              <w:t>Asfixia del nacimiento (no especificada)</w:t>
            </w:r>
          </w:p>
        </w:tc>
        <w:tc>
          <w:tcPr>
            <w:tcW w:w="1200" w:type="dxa"/>
            <w:shd w:val="clear" w:color="auto" w:fill="auto"/>
            <w:noWrap/>
            <w:vAlign w:val="center"/>
          </w:tcPr>
          <w:p w14:paraId="7C2CF60D" w14:textId="77777777" w:rsidR="00461D21" w:rsidRPr="000C49BF" w:rsidRDefault="00461D21" w:rsidP="000F6F1D">
            <w:pPr>
              <w:jc w:val="center"/>
              <w:rPr>
                <w:rFonts w:ascii="Arial" w:hAnsi="Arial" w:cs="Arial"/>
                <w:color w:val="000000"/>
                <w:sz w:val="20"/>
                <w:szCs w:val="20"/>
              </w:rPr>
            </w:pPr>
            <w:r w:rsidRPr="000C49BF">
              <w:rPr>
                <w:rFonts w:ascii="Arial" w:hAnsi="Arial" w:cs="Arial"/>
                <w:color w:val="000000"/>
                <w:sz w:val="20"/>
                <w:szCs w:val="20"/>
              </w:rPr>
              <w:t>13.16</w:t>
            </w:r>
          </w:p>
        </w:tc>
      </w:tr>
      <w:tr w:rsidR="00461D21" w:rsidRPr="004409C6" w14:paraId="0FDFBCBD" w14:textId="77777777" w:rsidTr="000F6F1D">
        <w:trPr>
          <w:trHeight w:val="300"/>
        </w:trPr>
        <w:tc>
          <w:tcPr>
            <w:tcW w:w="714" w:type="dxa"/>
            <w:shd w:val="clear" w:color="auto" w:fill="auto"/>
            <w:noWrap/>
            <w:vAlign w:val="center"/>
            <w:hideMark/>
          </w:tcPr>
          <w:p w14:paraId="620DEA80" w14:textId="77777777" w:rsidR="00461D21" w:rsidRPr="000C49BF" w:rsidRDefault="00461D21" w:rsidP="000F6F1D">
            <w:pPr>
              <w:spacing w:after="0" w:line="240" w:lineRule="auto"/>
              <w:jc w:val="center"/>
              <w:rPr>
                <w:rFonts w:ascii="Arial" w:eastAsia="Times New Roman" w:hAnsi="Arial" w:cs="Arial"/>
                <w:b/>
                <w:i/>
                <w:color w:val="000000"/>
                <w:sz w:val="20"/>
                <w:szCs w:val="20"/>
                <w:lang w:eastAsia="es-MX"/>
              </w:rPr>
            </w:pPr>
            <w:r w:rsidRPr="000C49BF">
              <w:rPr>
                <w:rFonts w:ascii="Arial" w:eastAsia="Times New Roman" w:hAnsi="Arial" w:cs="Arial"/>
                <w:b/>
                <w:i/>
                <w:color w:val="000000"/>
                <w:sz w:val="20"/>
                <w:szCs w:val="20"/>
                <w:lang w:eastAsia="es-MX"/>
              </w:rPr>
              <w:t>9</w:t>
            </w:r>
          </w:p>
        </w:tc>
        <w:tc>
          <w:tcPr>
            <w:tcW w:w="2835" w:type="dxa"/>
            <w:shd w:val="clear" w:color="auto" w:fill="auto"/>
            <w:noWrap/>
            <w:vAlign w:val="center"/>
            <w:hideMark/>
          </w:tcPr>
          <w:p w14:paraId="4AEA0BC3" w14:textId="77777777" w:rsidR="00461D21" w:rsidRPr="000C49BF" w:rsidRDefault="00461D21" w:rsidP="000F6F1D">
            <w:pPr>
              <w:rPr>
                <w:rFonts w:ascii="Arial" w:hAnsi="Arial" w:cs="Arial"/>
                <w:color w:val="000000"/>
                <w:sz w:val="20"/>
                <w:szCs w:val="20"/>
              </w:rPr>
            </w:pPr>
            <w:r w:rsidRPr="000C49BF">
              <w:rPr>
                <w:rFonts w:ascii="Arial" w:hAnsi="Arial" w:cs="Arial"/>
                <w:color w:val="000000"/>
                <w:sz w:val="20"/>
                <w:szCs w:val="20"/>
              </w:rPr>
              <w:t>Neumonía congénita (organismo no especificado)</w:t>
            </w:r>
          </w:p>
        </w:tc>
        <w:tc>
          <w:tcPr>
            <w:tcW w:w="1266" w:type="dxa"/>
            <w:shd w:val="clear" w:color="auto" w:fill="auto"/>
            <w:noWrap/>
            <w:vAlign w:val="center"/>
          </w:tcPr>
          <w:p w14:paraId="0FD21AD3" w14:textId="77777777" w:rsidR="00461D21" w:rsidRPr="000C49BF" w:rsidRDefault="00461D21" w:rsidP="000F6F1D">
            <w:pPr>
              <w:jc w:val="center"/>
              <w:rPr>
                <w:rFonts w:ascii="Arial" w:hAnsi="Arial" w:cs="Arial"/>
                <w:color w:val="000000"/>
                <w:sz w:val="20"/>
                <w:szCs w:val="20"/>
              </w:rPr>
            </w:pPr>
            <w:r w:rsidRPr="000C49BF">
              <w:rPr>
                <w:rFonts w:ascii="Arial" w:hAnsi="Arial" w:cs="Arial"/>
                <w:color w:val="000000"/>
                <w:sz w:val="20"/>
                <w:szCs w:val="20"/>
              </w:rPr>
              <w:t>10.95</w:t>
            </w:r>
          </w:p>
        </w:tc>
        <w:tc>
          <w:tcPr>
            <w:tcW w:w="2987" w:type="dxa"/>
            <w:shd w:val="clear" w:color="auto" w:fill="auto"/>
            <w:noWrap/>
            <w:vAlign w:val="center"/>
          </w:tcPr>
          <w:p w14:paraId="0A5BC21C" w14:textId="0034CC0E" w:rsidR="00461D21" w:rsidRPr="000C49BF" w:rsidRDefault="00461D21" w:rsidP="000F6F1D">
            <w:pPr>
              <w:spacing w:after="0" w:line="240" w:lineRule="auto"/>
              <w:rPr>
                <w:rFonts w:ascii="Arial" w:eastAsia="Times New Roman" w:hAnsi="Arial" w:cs="Arial"/>
                <w:color w:val="000000"/>
                <w:sz w:val="20"/>
                <w:szCs w:val="20"/>
                <w:lang w:eastAsia="es-MX"/>
              </w:rPr>
            </w:pPr>
            <w:r w:rsidRPr="000C49BF">
              <w:rPr>
                <w:rFonts w:ascii="Arial" w:eastAsia="Times New Roman" w:hAnsi="Arial" w:cs="Arial"/>
                <w:color w:val="000000"/>
                <w:sz w:val="20"/>
                <w:szCs w:val="20"/>
                <w:lang w:eastAsia="es-MX"/>
              </w:rPr>
              <w:t>Recié</w:t>
            </w:r>
            <w:r w:rsidR="000C49BF">
              <w:rPr>
                <w:rFonts w:ascii="Arial" w:eastAsia="Times New Roman" w:hAnsi="Arial" w:cs="Arial"/>
                <w:color w:val="000000"/>
                <w:sz w:val="20"/>
                <w:szCs w:val="20"/>
                <w:lang w:eastAsia="es-MX"/>
              </w:rPr>
              <w:t>n nacido posté</w:t>
            </w:r>
            <w:r w:rsidRPr="000C49BF">
              <w:rPr>
                <w:rFonts w:ascii="Arial" w:eastAsia="Times New Roman" w:hAnsi="Arial" w:cs="Arial"/>
                <w:color w:val="000000"/>
                <w:sz w:val="20"/>
                <w:szCs w:val="20"/>
                <w:lang w:eastAsia="es-MX"/>
              </w:rPr>
              <w:t>rmino sin sobrepeso para su edad gestacional</w:t>
            </w:r>
          </w:p>
        </w:tc>
        <w:tc>
          <w:tcPr>
            <w:tcW w:w="1200" w:type="dxa"/>
            <w:shd w:val="clear" w:color="auto" w:fill="auto"/>
            <w:noWrap/>
            <w:vAlign w:val="center"/>
          </w:tcPr>
          <w:p w14:paraId="7D325B26" w14:textId="77777777" w:rsidR="00461D21" w:rsidRPr="000C49BF" w:rsidRDefault="00461D21" w:rsidP="000F6F1D">
            <w:pPr>
              <w:jc w:val="center"/>
              <w:rPr>
                <w:rFonts w:ascii="Arial" w:hAnsi="Arial" w:cs="Arial"/>
                <w:color w:val="000000"/>
                <w:sz w:val="20"/>
                <w:szCs w:val="20"/>
              </w:rPr>
            </w:pPr>
            <w:r w:rsidRPr="000C49BF">
              <w:rPr>
                <w:rFonts w:ascii="Arial" w:hAnsi="Arial" w:cs="Arial"/>
                <w:color w:val="000000"/>
                <w:sz w:val="20"/>
                <w:szCs w:val="20"/>
              </w:rPr>
              <w:t>12.19</w:t>
            </w:r>
          </w:p>
        </w:tc>
      </w:tr>
      <w:tr w:rsidR="00461D21" w:rsidRPr="004409C6" w14:paraId="7AFCA856" w14:textId="77777777" w:rsidTr="000F6F1D">
        <w:trPr>
          <w:trHeight w:val="300"/>
        </w:trPr>
        <w:tc>
          <w:tcPr>
            <w:tcW w:w="714" w:type="dxa"/>
            <w:shd w:val="clear" w:color="auto" w:fill="auto"/>
            <w:noWrap/>
            <w:vAlign w:val="center"/>
            <w:hideMark/>
          </w:tcPr>
          <w:p w14:paraId="155862EC" w14:textId="77777777" w:rsidR="00461D21" w:rsidRPr="000C49BF" w:rsidRDefault="00461D21" w:rsidP="000F6F1D">
            <w:pPr>
              <w:spacing w:after="0" w:line="240" w:lineRule="auto"/>
              <w:jc w:val="center"/>
              <w:rPr>
                <w:rFonts w:ascii="Arial" w:eastAsia="Times New Roman" w:hAnsi="Arial" w:cs="Arial"/>
                <w:b/>
                <w:i/>
                <w:color w:val="000000"/>
                <w:sz w:val="20"/>
                <w:szCs w:val="20"/>
                <w:lang w:eastAsia="es-MX"/>
              </w:rPr>
            </w:pPr>
            <w:r w:rsidRPr="000C49BF">
              <w:rPr>
                <w:rFonts w:ascii="Arial" w:eastAsia="Times New Roman" w:hAnsi="Arial" w:cs="Arial"/>
                <w:b/>
                <w:i/>
                <w:color w:val="000000"/>
                <w:sz w:val="20"/>
                <w:szCs w:val="20"/>
                <w:lang w:eastAsia="es-MX"/>
              </w:rPr>
              <w:t>10</w:t>
            </w:r>
          </w:p>
        </w:tc>
        <w:tc>
          <w:tcPr>
            <w:tcW w:w="2835" w:type="dxa"/>
            <w:shd w:val="clear" w:color="auto" w:fill="auto"/>
            <w:noWrap/>
            <w:vAlign w:val="center"/>
            <w:hideMark/>
          </w:tcPr>
          <w:p w14:paraId="7AD7BD6A" w14:textId="77777777" w:rsidR="00461D21" w:rsidRPr="000C49BF" w:rsidRDefault="00461D21" w:rsidP="000F6F1D">
            <w:pPr>
              <w:rPr>
                <w:rFonts w:ascii="Arial" w:hAnsi="Arial" w:cs="Arial"/>
                <w:color w:val="000000"/>
                <w:sz w:val="20"/>
                <w:szCs w:val="20"/>
              </w:rPr>
            </w:pPr>
            <w:r w:rsidRPr="000C49BF">
              <w:rPr>
                <w:rFonts w:ascii="Arial" w:hAnsi="Arial" w:cs="Arial"/>
                <w:color w:val="000000"/>
                <w:sz w:val="20"/>
                <w:szCs w:val="20"/>
              </w:rPr>
              <w:t>Otros recién nacidos con sobrepeso para la edad gestacional</w:t>
            </w:r>
          </w:p>
        </w:tc>
        <w:tc>
          <w:tcPr>
            <w:tcW w:w="1266" w:type="dxa"/>
            <w:shd w:val="clear" w:color="auto" w:fill="auto"/>
            <w:noWrap/>
            <w:vAlign w:val="center"/>
          </w:tcPr>
          <w:p w14:paraId="418A88DD" w14:textId="77777777" w:rsidR="00461D21" w:rsidRPr="000C49BF" w:rsidRDefault="00461D21" w:rsidP="000F6F1D">
            <w:pPr>
              <w:jc w:val="center"/>
              <w:rPr>
                <w:rFonts w:ascii="Arial" w:hAnsi="Arial" w:cs="Arial"/>
                <w:color w:val="000000"/>
                <w:sz w:val="20"/>
                <w:szCs w:val="20"/>
              </w:rPr>
            </w:pPr>
            <w:r w:rsidRPr="000C49BF">
              <w:rPr>
                <w:rFonts w:ascii="Arial" w:hAnsi="Arial" w:cs="Arial"/>
                <w:color w:val="000000"/>
                <w:sz w:val="20"/>
                <w:szCs w:val="20"/>
              </w:rPr>
              <w:t>10.04</w:t>
            </w:r>
          </w:p>
        </w:tc>
        <w:tc>
          <w:tcPr>
            <w:tcW w:w="2987" w:type="dxa"/>
            <w:shd w:val="clear" w:color="auto" w:fill="auto"/>
            <w:noWrap/>
            <w:vAlign w:val="center"/>
          </w:tcPr>
          <w:p w14:paraId="7AB15BC6" w14:textId="77777777" w:rsidR="00461D21" w:rsidRPr="000C49BF" w:rsidRDefault="00461D21" w:rsidP="000F6F1D">
            <w:pPr>
              <w:spacing w:after="0" w:line="240" w:lineRule="auto"/>
              <w:rPr>
                <w:rFonts w:ascii="Arial" w:eastAsia="Times New Roman" w:hAnsi="Arial" w:cs="Arial"/>
                <w:color w:val="000000"/>
                <w:sz w:val="20"/>
                <w:szCs w:val="20"/>
                <w:lang w:eastAsia="es-MX"/>
              </w:rPr>
            </w:pPr>
            <w:r w:rsidRPr="000C49BF">
              <w:rPr>
                <w:rFonts w:ascii="Arial" w:eastAsia="Times New Roman" w:hAnsi="Arial" w:cs="Arial"/>
                <w:color w:val="000000"/>
                <w:sz w:val="20"/>
                <w:szCs w:val="20"/>
                <w:lang w:eastAsia="es-MX"/>
              </w:rPr>
              <w:t>Otro peso bajo al nacer</w:t>
            </w:r>
          </w:p>
        </w:tc>
        <w:tc>
          <w:tcPr>
            <w:tcW w:w="1200" w:type="dxa"/>
            <w:shd w:val="clear" w:color="auto" w:fill="auto"/>
            <w:noWrap/>
            <w:vAlign w:val="center"/>
          </w:tcPr>
          <w:p w14:paraId="011AC4CD" w14:textId="77777777" w:rsidR="00461D21" w:rsidRPr="000C49BF" w:rsidRDefault="00461D21" w:rsidP="000F6F1D">
            <w:pPr>
              <w:jc w:val="center"/>
              <w:rPr>
                <w:rFonts w:ascii="Arial" w:hAnsi="Arial" w:cs="Arial"/>
                <w:color w:val="000000"/>
                <w:sz w:val="20"/>
                <w:szCs w:val="20"/>
              </w:rPr>
            </w:pPr>
            <w:r w:rsidRPr="000C49BF">
              <w:rPr>
                <w:rFonts w:ascii="Arial" w:hAnsi="Arial" w:cs="Arial"/>
                <w:color w:val="000000"/>
                <w:sz w:val="20"/>
                <w:szCs w:val="20"/>
              </w:rPr>
              <w:t>9.58</w:t>
            </w:r>
          </w:p>
        </w:tc>
      </w:tr>
    </w:tbl>
    <w:p w14:paraId="49D2F077" w14:textId="5A97FA17" w:rsidR="00461D21" w:rsidRPr="00310DC4" w:rsidRDefault="000C49BF" w:rsidP="00461D21">
      <w:pPr>
        <w:spacing w:line="360" w:lineRule="auto"/>
        <w:ind w:firstLine="708"/>
        <w:jc w:val="both"/>
        <w:rPr>
          <w:rFonts w:ascii="Arial" w:hAnsi="Arial" w:cs="Arial"/>
          <w:sz w:val="18"/>
        </w:rPr>
      </w:pPr>
      <w:r>
        <w:rPr>
          <w:rFonts w:ascii="Arial" w:hAnsi="Arial" w:cs="Arial"/>
          <w:b/>
          <w:sz w:val="18"/>
        </w:rPr>
        <w:t xml:space="preserve">                                </w:t>
      </w:r>
      <w:r w:rsidR="00461D21" w:rsidRPr="00310DC4">
        <w:rPr>
          <w:rFonts w:ascii="Arial" w:hAnsi="Arial" w:cs="Arial"/>
          <w:b/>
          <w:sz w:val="18"/>
        </w:rPr>
        <w:t>Fuente:</w:t>
      </w:r>
      <w:r w:rsidR="00461D21" w:rsidRPr="00310DC4">
        <w:rPr>
          <w:rFonts w:ascii="Arial" w:hAnsi="Arial" w:cs="Arial"/>
          <w:sz w:val="18"/>
        </w:rPr>
        <w:t xml:space="preserve"> Elaboración propia con base en SSA (s.f.).</w:t>
      </w:r>
    </w:p>
    <w:p w14:paraId="1426895A" w14:textId="77777777" w:rsidR="00B350E5" w:rsidRDefault="006046FB" w:rsidP="00B350E5">
      <w:pPr>
        <w:spacing w:line="360" w:lineRule="auto"/>
        <w:jc w:val="both"/>
        <w:rPr>
          <w:rFonts w:ascii="Arial" w:hAnsi="Arial" w:cs="Arial"/>
          <w:b/>
        </w:rPr>
      </w:pPr>
      <w:r>
        <w:rPr>
          <w:rFonts w:ascii="Arial" w:hAnsi="Arial" w:cs="Arial"/>
          <w:b/>
        </w:rPr>
        <w:t>2</w:t>
      </w:r>
      <w:r w:rsidR="005B44CA">
        <w:rPr>
          <w:rFonts w:ascii="Arial" w:hAnsi="Arial" w:cs="Arial"/>
          <w:b/>
        </w:rPr>
        <w:t>.4.</w:t>
      </w:r>
      <w:r w:rsidR="00B350E5" w:rsidRPr="005B6CA1">
        <w:rPr>
          <w:rFonts w:ascii="Arial" w:hAnsi="Arial" w:cs="Arial"/>
          <w:b/>
        </w:rPr>
        <w:t xml:space="preserve"> </w:t>
      </w:r>
      <w:r w:rsidR="00B350E5">
        <w:rPr>
          <w:rFonts w:ascii="Arial" w:hAnsi="Arial" w:cs="Arial"/>
          <w:b/>
        </w:rPr>
        <w:t>MORTALIDAD</w:t>
      </w:r>
      <w:r w:rsidR="00B350E5" w:rsidRPr="005B6CA1">
        <w:rPr>
          <w:rFonts w:ascii="Arial" w:hAnsi="Arial" w:cs="Arial"/>
          <w:b/>
        </w:rPr>
        <w:t xml:space="preserve"> </w:t>
      </w:r>
    </w:p>
    <w:p w14:paraId="67A86E72" w14:textId="743FE026" w:rsidR="00461D21" w:rsidRDefault="00461D21" w:rsidP="00461D21">
      <w:pPr>
        <w:spacing w:line="360" w:lineRule="auto"/>
        <w:jc w:val="both"/>
        <w:rPr>
          <w:rFonts w:ascii="Arial" w:hAnsi="Arial" w:cs="Arial"/>
        </w:rPr>
      </w:pPr>
      <w:r>
        <w:rPr>
          <w:rFonts w:ascii="Arial" w:hAnsi="Arial" w:cs="Arial"/>
        </w:rPr>
        <w:t xml:space="preserve">El esquema de mortalidad de la población pediátrica resulta bastante heterogéneo y con marcados diferenciales –tanto en niveles como en causas– por sexos y edades; no obstante, </w:t>
      </w:r>
      <w:r w:rsidRPr="00D25E03">
        <w:rPr>
          <w:rFonts w:ascii="Arial" w:hAnsi="Arial" w:cs="Arial"/>
        </w:rPr>
        <w:t>las afecciones perinatales, las malformaciones congénitas, las lesiones (en especial los accidentes de transporte) y las enfermedades infectocontagiosas son las primeras causas de muerte para</w:t>
      </w:r>
      <w:r>
        <w:rPr>
          <w:rFonts w:ascii="Arial" w:hAnsi="Arial" w:cs="Arial"/>
        </w:rPr>
        <w:t xml:space="preserve"> dicha población, y </w:t>
      </w:r>
      <w:r w:rsidRPr="005B6CA1">
        <w:rPr>
          <w:rFonts w:ascii="Arial" w:hAnsi="Arial" w:cs="Arial"/>
        </w:rPr>
        <w:t>aunque el esquema por causas es similar para ambos sexos, se observa que</w:t>
      </w:r>
      <w:r>
        <w:rPr>
          <w:rFonts w:ascii="Arial" w:hAnsi="Arial" w:cs="Arial"/>
        </w:rPr>
        <w:t xml:space="preserve"> –al igual que en el esquema de morbilidad– </w:t>
      </w:r>
      <w:r w:rsidRPr="005B6CA1">
        <w:rPr>
          <w:rFonts w:ascii="Arial" w:hAnsi="Arial" w:cs="Arial"/>
        </w:rPr>
        <w:t xml:space="preserve"> los hombres tienen</w:t>
      </w:r>
      <w:r>
        <w:rPr>
          <w:rFonts w:ascii="Arial" w:hAnsi="Arial" w:cs="Arial"/>
        </w:rPr>
        <w:t xml:space="preserve"> tasas</w:t>
      </w:r>
      <w:r w:rsidRPr="005B6CA1">
        <w:rPr>
          <w:rFonts w:ascii="Arial" w:hAnsi="Arial" w:cs="Arial"/>
        </w:rPr>
        <w:t xml:space="preserve"> </w:t>
      </w:r>
      <w:r>
        <w:rPr>
          <w:rFonts w:ascii="Arial" w:hAnsi="Arial" w:cs="Arial"/>
        </w:rPr>
        <w:t xml:space="preserve">significativamente </w:t>
      </w:r>
      <w:r w:rsidR="00DC7B96">
        <w:rPr>
          <w:rFonts w:ascii="Arial" w:hAnsi="Arial" w:cs="Arial"/>
        </w:rPr>
        <w:t xml:space="preserve">mayores que las mujeres; </w:t>
      </w:r>
      <w:r>
        <w:rPr>
          <w:rFonts w:ascii="Arial" w:hAnsi="Arial" w:cs="Arial"/>
        </w:rPr>
        <w:t>a continuación se resumen las principales causas de mortalid</w:t>
      </w:r>
      <w:r w:rsidR="00DC7B96">
        <w:rPr>
          <w:rFonts w:ascii="Arial" w:hAnsi="Arial" w:cs="Arial"/>
        </w:rPr>
        <w:t xml:space="preserve">ad de la población neonatal en </w:t>
      </w:r>
      <w:r>
        <w:rPr>
          <w:rFonts w:ascii="Arial" w:hAnsi="Arial" w:cs="Arial"/>
        </w:rPr>
        <w:t>México para 2017</w:t>
      </w:r>
      <w:r>
        <w:rPr>
          <w:rStyle w:val="Refdenotaalpie"/>
          <w:rFonts w:ascii="Arial" w:hAnsi="Arial" w:cs="Arial"/>
        </w:rPr>
        <w:footnoteReference w:id="32"/>
      </w:r>
      <w:r>
        <w:rPr>
          <w:rFonts w:ascii="Arial" w:hAnsi="Arial" w:cs="Arial"/>
        </w:rPr>
        <w:t>.</w:t>
      </w:r>
    </w:p>
    <w:p w14:paraId="43A1F9EF" w14:textId="4E014721" w:rsidR="00461D21" w:rsidRDefault="00461D21" w:rsidP="00461D21">
      <w:pPr>
        <w:spacing w:line="360" w:lineRule="auto"/>
        <w:jc w:val="both"/>
        <w:rPr>
          <w:rFonts w:ascii="Arial" w:hAnsi="Arial" w:cs="Arial"/>
        </w:rPr>
      </w:pPr>
      <w:r>
        <w:rPr>
          <w:rFonts w:ascii="Arial" w:hAnsi="Arial" w:cs="Arial"/>
        </w:rPr>
        <w:t xml:space="preserve">Para la población menor de un año (Cuadro 3), el esquema está dominado por las infecciones perinatales, malformaciones congénitas, padecimientos infectocontagiosos y causas externas. Para ambos sexos, </w:t>
      </w:r>
      <w:r w:rsidR="000C49BF">
        <w:rPr>
          <w:rFonts w:ascii="Arial" w:hAnsi="Arial" w:cs="Arial"/>
        </w:rPr>
        <w:t>las afecciones perinatales son</w:t>
      </w:r>
      <w:r w:rsidR="00DC7B96">
        <w:rPr>
          <w:rFonts w:ascii="Arial" w:hAnsi="Arial" w:cs="Arial"/>
        </w:rPr>
        <w:t>,</w:t>
      </w:r>
      <w:r>
        <w:rPr>
          <w:rFonts w:ascii="Arial" w:hAnsi="Arial" w:cs="Arial"/>
        </w:rPr>
        <w:t xml:space="preserve"> por mucho</w:t>
      </w:r>
      <w:r w:rsidR="00DC7B96">
        <w:rPr>
          <w:rFonts w:ascii="Arial" w:hAnsi="Arial" w:cs="Arial"/>
        </w:rPr>
        <w:t>,</w:t>
      </w:r>
      <w:r>
        <w:rPr>
          <w:rFonts w:ascii="Arial" w:hAnsi="Arial" w:cs="Arial"/>
        </w:rPr>
        <w:t xml:space="preserve"> la primera causa de defunción con tasas de 66.69 y 51.69 defunciones por cada 10,000 hombres y mujeres. En segunda posición están las malformaciones congénitas con tasas de 30.07 y 27.04 en hombres y mujeres, correspondientemente. Asimismo, la diarrea y gastroenteritis de presunto origen infeccioso son la séptima causa de muerte para hombres y </w:t>
      </w:r>
      <w:r w:rsidR="000C49BF">
        <w:rPr>
          <w:rFonts w:ascii="Arial" w:hAnsi="Arial" w:cs="Arial"/>
        </w:rPr>
        <w:t>mujeres.</w:t>
      </w:r>
      <w:r>
        <w:rPr>
          <w:rFonts w:ascii="Arial" w:hAnsi="Arial" w:cs="Arial"/>
        </w:rPr>
        <w:t xml:space="preserve"> Por otro lado, la desnutrición es la décima causa de muerte para las niñas con una tasa 1.1 defunciones</w:t>
      </w:r>
      <w:r>
        <w:rPr>
          <w:rStyle w:val="Refdenotaalpie"/>
          <w:rFonts w:ascii="Arial" w:hAnsi="Arial" w:cs="Arial"/>
        </w:rPr>
        <w:footnoteReference w:id="33"/>
      </w:r>
      <w:r>
        <w:rPr>
          <w:rFonts w:ascii="Arial" w:hAnsi="Arial" w:cs="Arial"/>
        </w:rPr>
        <w:t>.</w:t>
      </w:r>
    </w:p>
    <w:p w14:paraId="37FE1C98" w14:textId="77777777" w:rsidR="00461D21" w:rsidRDefault="00461D21" w:rsidP="00461D21">
      <w:pPr>
        <w:spacing w:line="360" w:lineRule="auto"/>
        <w:jc w:val="both"/>
        <w:rPr>
          <w:rFonts w:ascii="Arial" w:hAnsi="Arial" w:cs="Arial"/>
        </w:rPr>
      </w:pPr>
      <w:r>
        <w:rPr>
          <w:rFonts w:ascii="Arial" w:hAnsi="Arial" w:cs="Arial"/>
        </w:rPr>
        <w:t xml:space="preserve">Específicamente para la población neonatal (0-28 días), el cuadro de las principales causas de mortalidad es uniforme entre sexo, aunque varía considerablemente en niveles entre estos, pero el esquema está dominado por las infecciones perinatales, malformaciones </w:t>
      </w:r>
      <w:r>
        <w:rPr>
          <w:rFonts w:ascii="Arial" w:hAnsi="Arial" w:cs="Arial"/>
        </w:rPr>
        <w:lastRenderedPageBreak/>
        <w:t>congénitas, así como padecimientos infectocontagiosos</w:t>
      </w:r>
      <w:r>
        <w:rPr>
          <w:rStyle w:val="Refdenotaalpie"/>
          <w:rFonts w:ascii="Arial" w:hAnsi="Arial" w:cs="Arial"/>
        </w:rPr>
        <w:footnoteReference w:id="34"/>
      </w:r>
      <w:r>
        <w:rPr>
          <w:rFonts w:ascii="Arial" w:hAnsi="Arial" w:cs="Arial"/>
        </w:rPr>
        <w:t xml:space="preserve">. Al respecto las diarreas y </w:t>
      </w:r>
      <w:r w:rsidRPr="00C3442A">
        <w:rPr>
          <w:rFonts w:ascii="Arial" w:hAnsi="Arial" w:cs="Arial"/>
        </w:rPr>
        <w:t>gastroenteritis de presunto origen infeccioso</w:t>
      </w:r>
      <w:r>
        <w:rPr>
          <w:rFonts w:ascii="Arial" w:hAnsi="Arial" w:cs="Arial"/>
        </w:rPr>
        <w:t xml:space="preserve"> son significativamente las principales causas de mortalidad, ya que ocurren 60.3 defunciones por cada 10,000 nacimientos masculinos y 46.89 defunciones por otro tanto femenino. Aunque está causa ha mostrado una tendencia continua a la baja en el país, aún no se ha alcanzado la reducción prevista, lo cual sugiere problemas importantes en el proceso enfermedad-atención-muerte de los infantes, así como un indicador de inequidades, rezago social y brechas entre las comunidades en México</w:t>
      </w:r>
      <w:r>
        <w:rPr>
          <w:rStyle w:val="Refdenotaalpie"/>
          <w:rFonts w:ascii="Arial" w:hAnsi="Arial" w:cs="Arial"/>
        </w:rPr>
        <w:footnoteReference w:id="35"/>
      </w:r>
      <w:r>
        <w:rPr>
          <w:rFonts w:ascii="Arial" w:hAnsi="Arial" w:cs="Arial"/>
        </w:rPr>
        <w:t>. La septicemia es la segunda causa de muerte con tasas de 17.16 en hombres y 15.69 en mujeres. Estos dos padecimientos engloban 96% de los decesos en la población neonatal en México. Para las subsecuentes causas, los niveles de mortalidad bajan drásticamente en ambos sexos, pero destaca que la tercera causa de muerte son las infecciones con un modo de transmisión predominantemente sexual (1.07 y 0.79 en hombres y mujeres, respectivamente)</w:t>
      </w:r>
      <w:r>
        <w:rPr>
          <w:rStyle w:val="Refdenotaalpie"/>
          <w:rFonts w:ascii="Arial" w:hAnsi="Arial" w:cs="Arial"/>
        </w:rPr>
        <w:footnoteReference w:id="36"/>
      </w:r>
      <w:r>
        <w:rPr>
          <w:rFonts w:ascii="Arial" w:hAnsi="Arial" w:cs="Arial"/>
        </w:rPr>
        <w:t xml:space="preserve">.  </w:t>
      </w:r>
    </w:p>
    <w:p w14:paraId="2A9BB3BC" w14:textId="77777777" w:rsidR="00461D21" w:rsidRPr="000F1394" w:rsidRDefault="00461D21" w:rsidP="00461D21">
      <w:pPr>
        <w:spacing w:after="0" w:line="360" w:lineRule="auto"/>
        <w:jc w:val="center"/>
        <w:rPr>
          <w:rFonts w:ascii="Arial" w:hAnsi="Arial" w:cs="Arial"/>
          <w:b/>
        </w:rPr>
      </w:pPr>
      <w:r>
        <w:rPr>
          <w:rFonts w:ascii="Arial" w:hAnsi="Arial" w:cs="Arial"/>
          <w:b/>
        </w:rPr>
        <w:t>Cuadro 3</w:t>
      </w:r>
      <w:r w:rsidRPr="00595A2A">
        <w:rPr>
          <w:rFonts w:ascii="Arial" w:hAnsi="Arial" w:cs="Arial"/>
          <w:b/>
        </w:rPr>
        <w:t xml:space="preserve">. Principales causas de </w:t>
      </w:r>
      <w:r>
        <w:rPr>
          <w:rFonts w:ascii="Arial" w:hAnsi="Arial" w:cs="Arial"/>
          <w:b/>
        </w:rPr>
        <w:t>mortalidad</w:t>
      </w:r>
      <w:r w:rsidRPr="00595A2A">
        <w:rPr>
          <w:rFonts w:ascii="Arial" w:hAnsi="Arial" w:cs="Arial"/>
          <w:b/>
        </w:rPr>
        <w:t xml:space="preserve"> para la población </w:t>
      </w:r>
      <w:r>
        <w:rPr>
          <w:rFonts w:ascii="Arial" w:hAnsi="Arial" w:cs="Arial"/>
          <w:b/>
        </w:rPr>
        <w:t>neonatal según</w:t>
      </w:r>
      <w:r w:rsidRPr="00595A2A">
        <w:rPr>
          <w:rFonts w:ascii="Arial" w:hAnsi="Arial" w:cs="Arial"/>
          <w:b/>
        </w:rPr>
        <w:t xml:space="preserve"> </w:t>
      </w:r>
      <w:r>
        <w:rPr>
          <w:rFonts w:ascii="Arial" w:hAnsi="Arial" w:cs="Arial"/>
          <w:b/>
        </w:rPr>
        <w:t>sexo, México, 2017.</w:t>
      </w:r>
    </w:p>
    <w:tbl>
      <w:tblPr>
        <w:tblW w:w="9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29"/>
        <w:gridCol w:w="2835"/>
        <w:gridCol w:w="1266"/>
        <w:gridCol w:w="2987"/>
        <w:gridCol w:w="1200"/>
      </w:tblGrid>
      <w:tr w:rsidR="00461D21" w:rsidRPr="000C49BF" w14:paraId="6A0B6639" w14:textId="77777777" w:rsidTr="000F6F1D">
        <w:trPr>
          <w:trHeight w:val="300"/>
        </w:trPr>
        <w:tc>
          <w:tcPr>
            <w:tcW w:w="714" w:type="dxa"/>
            <w:vMerge w:val="restart"/>
            <w:shd w:val="clear" w:color="auto" w:fill="BDD6EE" w:themeFill="accent1" w:themeFillTint="66"/>
            <w:noWrap/>
            <w:vAlign w:val="center"/>
            <w:hideMark/>
          </w:tcPr>
          <w:p w14:paraId="324AF5D6" w14:textId="77777777" w:rsidR="00461D21" w:rsidRPr="000C49BF" w:rsidRDefault="00461D21" w:rsidP="000F6F1D">
            <w:pPr>
              <w:spacing w:after="0" w:line="240" w:lineRule="auto"/>
              <w:jc w:val="center"/>
              <w:rPr>
                <w:rFonts w:ascii="Arial" w:eastAsia="Times New Roman" w:hAnsi="Arial" w:cs="Arial"/>
                <w:b/>
                <w:sz w:val="20"/>
                <w:szCs w:val="20"/>
                <w:lang w:eastAsia="es-MX"/>
              </w:rPr>
            </w:pPr>
            <w:r w:rsidRPr="000C49BF">
              <w:rPr>
                <w:rFonts w:ascii="Arial" w:eastAsia="Times New Roman" w:hAnsi="Arial" w:cs="Arial"/>
                <w:b/>
                <w:color w:val="000000"/>
                <w:sz w:val="20"/>
                <w:szCs w:val="20"/>
                <w:lang w:eastAsia="es-MX"/>
              </w:rPr>
              <w:t>Orden</w:t>
            </w:r>
          </w:p>
        </w:tc>
        <w:tc>
          <w:tcPr>
            <w:tcW w:w="4101" w:type="dxa"/>
            <w:gridSpan w:val="2"/>
            <w:shd w:val="clear" w:color="auto" w:fill="BDD6EE" w:themeFill="accent1" w:themeFillTint="66"/>
            <w:noWrap/>
            <w:vAlign w:val="bottom"/>
            <w:hideMark/>
          </w:tcPr>
          <w:p w14:paraId="00C5D19C" w14:textId="77777777" w:rsidR="00461D21" w:rsidRPr="000C49BF" w:rsidRDefault="00461D21" w:rsidP="000F6F1D">
            <w:pPr>
              <w:spacing w:after="0" w:line="240" w:lineRule="auto"/>
              <w:jc w:val="center"/>
              <w:rPr>
                <w:rFonts w:ascii="Arial" w:eastAsia="Times New Roman" w:hAnsi="Arial" w:cs="Arial"/>
                <w:b/>
                <w:sz w:val="20"/>
                <w:szCs w:val="20"/>
                <w:lang w:eastAsia="es-MX"/>
              </w:rPr>
            </w:pPr>
            <w:r w:rsidRPr="000C49BF">
              <w:rPr>
                <w:rFonts w:ascii="Arial" w:eastAsia="Times New Roman" w:hAnsi="Arial" w:cs="Arial"/>
                <w:b/>
                <w:color w:val="000000"/>
                <w:sz w:val="20"/>
                <w:szCs w:val="20"/>
                <w:lang w:eastAsia="es-MX"/>
              </w:rPr>
              <w:t>Hombres</w:t>
            </w:r>
          </w:p>
        </w:tc>
        <w:tc>
          <w:tcPr>
            <w:tcW w:w="4187" w:type="dxa"/>
            <w:gridSpan w:val="2"/>
            <w:shd w:val="clear" w:color="auto" w:fill="BDD6EE" w:themeFill="accent1" w:themeFillTint="66"/>
            <w:noWrap/>
            <w:vAlign w:val="bottom"/>
            <w:hideMark/>
          </w:tcPr>
          <w:p w14:paraId="4007105C" w14:textId="77777777" w:rsidR="00461D21" w:rsidRPr="000C49BF" w:rsidRDefault="00461D21" w:rsidP="000F6F1D">
            <w:pPr>
              <w:spacing w:after="0" w:line="240" w:lineRule="auto"/>
              <w:jc w:val="center"/>
              <w:rPr>
                <w:rFonts w:ascii="Arial" w:eastAsia="Times New Roman" w:hAnsi="Arial" w:cs="Arial"/>
                <w:b/>
                <w:sz w:val="20"/>
                <w:szCs w:val="20"/>
                <w:lang w:eastAsia="es-MX"/>
              </w:rPr>
            </w:pPr>
            <w:r w:rsidRPr="000C49BF">
              <w:rPr>
                <w:rFonts w:ascii="Arial" w:eastAsia="Times New Roman" w:hAnsi="Arial" w:cs="Arial"/>
                <w:b/>
                <w:color w:val="000000"/>
                <w:sz w:val="20"/>
                <w:szCs w:val="20"/>
                <w:lang w:eastAsia="es-MX"/>
              </w:rPr>
              <w:t>Mujeres</w:t>
            </w:r>
          </w:p>
        </w:tc>
      </w:tr>
      <w:tr w:rsidR="00461D21" w:rsidRPr="000C49BF" w14:paraId="376A1B99" w14:textId="77777777" w:rsidTr="000F6F1D">
        <w:trPr>
          <w:trHeight w:val="300"/>
        </w:trPr>
        <w:tc>
          <w:tcPr>
            <w:tcW w:w="714" w:type="dxa"/>
            <w:vMerge/>
            <w:shd w:val="clear" w:color="auto" w:fill="BDD6EE" w:themeFill="accent1" w:themeFillTint="66"/>
            <w:noWrap/>
            <w:vAlign w:val="bottom"/>
            <w:hideMark/>
          </w:tcPr>
          <w:p w14:paraId="525D84FA" w14:textId="77777777" w:rsidR="00461D21" w:rsidRPr="000C49BF" w:rsidRDefault="00461D21" w:rsidP="000F6F1D">
            <w:pPr>
              <w:spacing w:after="0" w:line="240" w:lineRule="auto"/>
              <w:rPr>
                <w:rFonts w:ascii="Arial" w:eastAsia="Times New Roman" w:hAnsi="Arial" w:cs="Arial"/>
                <w:color w:val="000000"/>
                <w:sz w:val="20"/>
                <w:szCs w:val="20"/>
                <w:lang w:eastAsia="es-MX"/>
              </w:rPr>
            </w:pPr>
          </w:p>
        </w:tc>
        <w:tc>
          <w:tcPr>
            <w:tcW w:w="2835" w:type="dxa"/>
            <w:shd w:val="clear" w:color="auto" w:fill="BDD6EE" w:themeFill="accent1" w:themeFillTint="66"/>
            <w:noWrap/>
            <w:vAlign w:val="bottom"/>
            <w:hideMark/>
          </w:tcPr>
          <w:p w14:paraId="68C356B7" w14:textId="77777777" w:rsidR="00461D21" w:rsidRPr="000C49BF" w:rsidRDefault="00461D21" w:rsidP="000F6F1D">
            <w:pPr>
              <w:spacing w:after="0" w:line="240" w:lineRule="auto"/>
              <w:jc w:val="center"/>
              <w:rPr>
                <w:rFonts w:ascii="Arial" w:eastAsia="Times New Roman" w:hAnsi="Arial" w:cs="Arial"/>
                <w:b/>
                <w:color w:val="000000"/>
                <w:sz w:val="20"/>
                <w:szCs w:val="20"/>
                <w:lang w:eastAsia="es-MX"/>
              </w:rPr>
            </w:pPr>
            <w:r w:rsidRPr="000C49BF">
              <w:rPr>
                <w:rFonts w:ascii="Arial" w:eastAsia="Times New Roman" w:hAnsi="Arial" w:cs="Arial"/>
                <w:b/>
                <w:color w:val="000000"/>
                <w:sz w:val="20"/>
                <w:szCs w:val="20"/>
                <w:lang w:eastAsia="es-MX"/>
              </w:rPr>
              <w:t>Padecimiento</w:t>
            </w:r>
          </w:p>
        </w:tc>
        <w:tc>
          <w:tcPr>
            <w:tcW w:w="1266" w:type="dxa"/>
            <w:shd w:val="clear" w:color="auto" w:fill="BDD6EE" w:themeFill="accent1" w:themeFillTint="66"/>
            <w:noWrap/>
            <w:vAlign w:val="bottom"/>
            <w:hideMark/>
          </w:tcPr>
          <w:p w14:paraId="28E299E7" w14:textId="77777777" w:rsidR="00461D21" w:rsidRPr="000C49BF" w:rsidRDefault="00461D21" w:rsidP="000F6F1D">
            <w:pPr>
              <w:spacing w:after="0" w:line="240" w:lineRule="auto"/>
              <w:jc w:val="center"/>
              <w:rPr>
                <w:rFonts w:ascii="Arial" w:eastAsia="Times New Roman" w:hAnsi="Arial" w:cs="Arial"/>
                <w:b/>
                <w:color w:val="000000"/>
                <w:sz w:val="20"/>
                <w:szCs w:val="20"/>
                <w:lang w:eastAsia="es-MX"/>
              </w:rPr>
            </w:pPr>
            <w:r w:rsidRPr="000C49BF">
              <w:rPr>
                <w:rFonts w:ascii="Arial" w:eastAsia="Times New Roman" w:hAnsi="Arial" w:cs="Arial"/>
                <w:b/>
                <w:color w:val="000000"/>
                <w:sz w:val="20"/>
                <w:szCs w:val="20"/>
                <w:lang w:eastAsia="es-MX"/>
              </w:rPr>
              <w:t>Tasa</w:t>
            </w:r>
          </w:p>
        </w:tc>
        <w:tc>
          <w:tcPr>
            <w:tcW w:w="2987" w:type="dxa"/>
            <w:shd w:val="clear" w:color="auto" w:fill="BDD6EE" w:themeFill="accent1" w:themeFillTint="66"/>
            <w:noWrap/>
            <w:vAlign w:val="bottom"/>
            <w:hideMark/>
          </w:tcPr>
          <w:p w14:paraId="1836EA38" w14:textId="77777777" w:rsidR="00461D21" w:rsidRPr="000C49BF" w:rsidRDefault="00461D21" w:rsidP="000F6F1D">
            <w:pPr>
              <w:spacing w:after="0" w:line="240" w:lineRule="auto"/>
              <w:jc w:val="center"/>
              <w:rPr>
                <w:rFonts w:ascii="Arial" w:eastAsia="Times New Roman" w:hAnsi="Arial" w:cs="Arial"/>
                <w:b/>
                <w:color w:val="000000"/>
                <w:sz w:val="20"/>
                <w:szCs w:val="20"/>
                <w:lang w:eastAsia="es-MX"/>
              </w:rPr>
            </w:pPr>
            <w:r w:rsidRPr="000C49BF">
              <w:rPr>
                <w:rFonts w:ascii="Arial" w:eastAsia="Times New Roman" w:hAnsi="Arial" w:cs="Arial"/>
                <w:b/>
                <w:color w:val="000000"/>
                <w:sz w:val="20"/>
                <w:szCs w:val="20"/>
                <w:lang w:eastAsia="es-MX"/>
              </w:rPr>
              <w:t>Padecimiento</w:t>
            </w:r>
          </w:p>
        </w:tc>
        <w:tc>
          <w:tcPr>
            <w:tcW w:w="1200" w:type="dxa"/>
            <w:shd w:val="clear" w:color="auto" w:fill="BDD6EE" w:themeFill="accent1" w:themeFillTint="66"/>
            <w:noWrap/>
            <w:vAlign w:val="bottom"/>
            <w:hideMark/>
          </w:tcPr>
          <w:p w14:paraId="0DC41BC5" w14:textId="77777777" w:rsidR="00461D21" w:rsidRPr="000C49BF" w:rsidRDefault="00461D21" w:rsidP="000F6F1D">
            <w:pPr>
              <w:spacing w:after="0" w:line="240" w:lineRule="auto"/>
              <w:jc w:val="center"/>
              <w:rPr>
                <w:rFonts w:ascii="Arial" w:eastAsia="Times New Roman" w:hAnsi="Arial" w:cs="Arial"/>
                <w:b/>
                <w:color w:val="000000"/>
                <w:sz w:val="20"/>
                <w:szCs w:val="20"/>
                <w:lang w:eastAsia="es-MX"/>
              </w:rPr>
            </w:pPr>
            <w:r w:rsidRPr="000C49BF">
              <w:rPr>
                <w:rFonts w:ascii="Arial" w:eastAsia="Times New Roman" w:hAnsi="Arial" w:cs="Arial"/>
                <w:b/>
                <w:color w:val="000000"/>
                <w:sz w:val="20"/>
                <w:szCs w:val="20"/>
                <w:lang w:eastAsia="es-MX"/>
              </w:rPr>
              <w:t>Tasa</w:t>
            </w:r>
          </w:p>
        </w:tc>
      </w:tr>
      <w:tr w:rsidR="00461D21" w:rsidRPr="000C49BF" w14:paraId="302E4A0A" w14:textId="77777777" w:rsidTr="000F6F1D">
        <w:trPr>
          <w:trHeight w:val="300"/>
        </w:trPr>
        <w:tc>
          <w:tcPr>
            <w:tcW w:w="714" w:type="dxa"/>
            <w:shd w:val="clear" w:color="auto" w:fill="auto"/>
            <w:noWrap/>
            <w:vAlign w:val="center"/>
            <w:hideMark/>
          </w:tcPr>
          <w:p w14:paraId="7CB19DE9" w14:textId="77777777" w:rsidR="00461D21" w:rsidRPr="000C49BF" w:rsidRDefault="00461D21" w:rsidP="000F6F1D">
            <w:pPr>
              <w:spacing w:after="0" w:line="240" w:lineRule="auto"/>
              <w:jc w:val="center"/>
              <w:rPr>
                <w:rFonts w:ascii="Arial" w:eastAsia="Times New Roman" w:hAnsi="Arial" w:cs="Arial"/>
                <w:b/>
                <w:i/>
                <w:color w:val="000000"/>
                <w:sz w:val="20"/>
                <w:szCs w:val="20"/>
                <w:lang w:eastAsia="es-MX"/>
              </w:rPr>
            </w:pPr>
            <w:r w:rsidRPr="000C49BF">
              <w:rPr>
                <w:rFonts w:ascii="Arial" w:eastAsia="Times New Roman" w:hAnsi="Arial" w:cs="Arial"/>
                <w:b/>
                <w:i/>
                <w:color w:val="000000"/>
                <w:sz w:val="20"/>
                <w:szCs w:val="20"/>
                <w:lang w:eastAsia="es-MX"/>
              </w:rPr>
              <w:t>1</w:t>
            </w:r>
          </w:p>
        </w:tc>
        <w:tc>
          <w:tcPr>
            <w:tcW w:w="2835" w:type="dxa"/>
            <w:shd w:val="clear" w:color="auto" w:fill="auto"/>
            <w:noWrap/>
            <w:vAlign w:val="center"/>
            <w:hideMark/>
          </w:tcPr>
          <w:p w14:paraId="4503F1F9" w14:textId="77777777" w:rsidR="00461D21" w:rsidRPr="000C49BF" w:rsidRDefault="00461D21" w:rsidP="000F6F1D">
            <w:pPr>
              <w:rPr>
                <w:rFonts w:ascii="Arial" w:hAnsi="Arial" w:cs="Arial"/>
                <w:color w:val="000000"/>
                <w:sz w:val="20"/>
                <w:szCs w:val="20"/>
              </w:rPr>
            </w:pPr>
            <w:r w:rsidRPr="000C49BF">
              <w:rPr>
                <w:rFonts w:ascii="Arial" w:hAnsi="Arial" w:cs="Arial"/>
                <w:color w:val="000000"/>
                <w:sz w:val="20"/>
                <w:szCs w:val="20"/>
              </w:rPr>
              <w:t>Diarrea y gastroenteritis de presunto origen infeccioso</w:t>
            </w:r>
          </w:p>
        </w:tc>
        <w:tc>
          <w:tcPr>
            <w:tcW w:w="1266" w:type="dxa"/>
            <w:shd w:val="clear" w:color="auto" w:fill="auto"/>
            <w:noWrap/>
            <w:vAlign w:val="center"/>
          </w:tcPr>
          <w:p w14:paraId="4366C0E3" w14:textId="77777777" w:rsidR="00461D21" w:rsidRPr="000C49BF" w:rsidRDefault="00461D21" w:rsidP="000F6F1D">
            <w:pPr>
              <w:jc w:val="center"/>
              <w:rPr>
                <w:rFonts w:ascii="Arial" w:hAnsi="Arial" w:cs="Arial"/>
                <w:color w:val="000000"/>
                <w:sz w:val="20"/>
                <w:szCs w:val="20"/>
              </w:rPr>
            </w:pPr>
            <w:r w:rsidRPr="000C49BF">
              <w:rPr>
                <w:rFonts w:ascii="Arial" w:hAnsi="Arial" w:cs="Arial"/>
                <w:color w:val="000000"/>
                <w:sz w:val="20"/>
                <w:szCs w:val="20"/>
              </w:rPr>
              <w:t>60.30</w:t>
            </w:r>
          </w:p>
        </w:tc>
        <w:tc>
          <w:tcPr>
            <w:tcW w:w="2987" w:type="dxa"/>
            <w:shd w:val="clear" w:color="auto" w:fill="auto"/>
            <w:noWrap/>
            <w:vAlign w:val="center"/>
            <w:hideMark/>
          </w:tcPr>
          <w:p w14:paraId="58029FBA" w14:textId="77777777" w:rsidR="00461D21" w:rsidRPr="000C49BF" w:rsidRDefault="00461D21" w:rsidP="000F6F1D">
            <w:pPr>
              <w:rPr>
                <w:rFonts w:ascii="Arial" w:hAnsi="Arial" w:cs="Arial"/>
                <w:color w:val="000000"/>
                <w:sz w:val="20"/>
                <w:szCs w:val="20"/>
              </w:rPr>
            </w:pPr>
            <w:r w:rsidRPr="000C49BF">
              <w:rPr>
                <w:rFonts w:ascii="Arial" w:hAnsi="Arial" w:cs="Arial"/>
                <w:color w:val="000000"/>
                <w:sz w:val="20"/>
                <w:szCs w:val="20"/>
              </w:rPr>
              <w:t>Diarrea y gastroenteritis de presunto origen infeccioso</w:t>
            </w:r>
          </w:p>
        </w:tc>
        <w:tc>
          <w:tcPr>
            <w:tcW w:w="1200" w:type="dxa"/>
            <w:shd w:val="clear" w:color="auto" w:fill="auto"/>
            <w:noWrap/>
            <w:vAlign w:val="center"/>
          </w:tcPr>
          <w:p w14:paraId="77B6858C" w14:textId="77777777" w:rsidR="00461D21" w:rsidRPr="000C49BF" w:rsidRDefault="00461D21" w:rsidP="000F6F1D">
            <w:pPr>
              <w:jc w:val="center"/>
              <w:rPr>
                <w:rFonts w:ascii="Arial" w:hAnsi="Arial" w:cs="Arial"/>
                <w:color w:val="000000"/>
                <w:sz w:val="20"/>
                <w:szCs w:val="20"/>
              </w:rPr>
            </w:pPr>
            <w:r w:rsidRPr="000C49BF">
              <w:rPr>
                <w:rFonts w:ascii="Arial" w:hAnsi="Arial" w:cs="Arial"/>
                <w:color w:val="000000"/>
                <w:sz w:val="20"/>
                <w:szCs w:val="20"/>
              </w:rPr>
              <w:t>46.89</w:t>
            </w:r>
          </w:p>
        </w:tc>
      </w:tr>
      <w:tr w:rsidR="00461D21" w:rsidRPr="000C49BF" w14:paraId="4DDDD21E" w14:textId="77777777" w:rsidTr="000F6F1D">
        <w:trPr>
          <w:trHeight w:val="300"/>
        </w:trPr>
        <w:tc>
          <w:tcPr>
            <w:tcW w:w="714" w:type="dxa"/>
            <w:shd w:val="clear" w:color="auto" w:fill="auto"/>
            <w:noWrap/>
            <w:vAlign w:val="center"/>
            <w:hideMark/>
          </w:tcPr>
          <w:p w14:paraId="7ADB36F9" w14:textId="77777777" w:rsidR="00461D21" w:rsidRPr="000C49BF" w:rsidRDefault="00461D21" w:rsidP="000F6F1D">
            <w:pPr>
              <w:spacing w:after="0" w:line="240" w:lineRule="auto"/>
              <w:jc w:val="center"/>
              <w:rPr>
                <w:rFonts w:ascii="Arial" w:eastAsia="Times New Roman" w:hAnsi="Arial" w:cs="Arial"/>
                <w:b/>
                <w:i/>
                <w:color w:val="000000"/>
                <w:sz w:val="20"/>
                <w:szCs w:val="20"/>
                <w:lang w:eastAsia="es-MX"/>
              </w:rPr>
            </w:pPr>
            <w:r w:rsidRPr="000C49BF">
              <w:rPr>
                <w:rFonts w:ascii="Arial" w:eastAsia="Times New Roman" w:hAnsi="Arial" w:cs="Arial"/>
                <w:b/>
                <w:i/>
                <w:color w:val="000000"/>
                <w:sz w:val="20"/>
                <w:szCs w:val="20"/>
                <w:lang w:eastAsia="es-MX"/>
              </w:rPr>
              <w:t>2</w:t>
            </w:r>
          </w:p>
        </w:tc>
        <w:tc>
          <w:tcPr>
            <w:tcW w:w="2835" w:type="dxa"/>
            <w:shd w:val="clear" w:color="auto" w:fill="auto"/>
            <w:noWrap/>
            <w:vAlign w:val="center"/>
            <w:hideMark/>
          </w:tcPr>
          <w:p w14:paraId="46D8EA63" w14:textId="77777777" w:rsidR="00461D21" w:rsidRPr="000C49BF" w:rsidRDefault="00461D21" w:rsidP="000F6F1D">
            <w:pPr>
              <w:rPr>
                <w:rFonts w:ascii="Arial" w:hAnsi="Arial" w:cs="Arial"/>
                <w:color w:val="000000"/>
                <w:sz w:val="20"/>
                <w:szCs w:val="20"/>
              </w:rPr>
            </w:pPr>
            <w:r w:rsidRPr="000C49BF">
              <w:rPr>
                <w:rFonts w:ascii="Arial" w:hAnsi="Arial" w:cs="Arial"/>
                <w:color w:val="000000"/>
                <w:sz w:val="20"/>
                <w:szCs w:val="20"/>
              </w:rPr>
              <w:t>Septicemia</w:t>
            </w:r>
          </w:p>
        </w:tc>
        <w:tc>
          <w:tcPr>
            <w:tcW w:w="1266" w:type="dxa"/>
            <w:shd w:val="clear" w:color="auto" w:fill="auto"/>
            <w:noWrap/>
            <w:vAlign w:val="center"/>
          </w:tcPr>
          <w:p w14:paraId="0AA4C297" w14:textId="77777777" w:rsidR="00461D21" w:rsidRPr="000C49BF" w:rsidRDefault="00461D21" w:rsidP="000F6F1D">
            <w:pPr>
              <w:jc w:val="center"/>
              <w:rPr>
                <w:rFonts w:ascii="Arial" w:hAnsi="Arial" w:cs="Arial"/>
                <w:color w:val="000000"/>
                <w:sz w:val="20"/>
                <w:szCs w:val="20"/>
              </w:rPr>
            </w:pPr>
            <w:r w:rsidRPr="000C49BF">
              <w:rPr>
                <w:rFonts w:ascii="Arial" w:hAnsi="Arial" w:cs="Arial"/>
                <w:color w:val="000000"/>
                <w:sz w:val="20"/>
                <w:szCs w:val="20"/>
              </w:rPr>
              <w:t>17.16</w:t>
            </w:r>
          </w:p>
        </w:tc>
        <w:tc>
          <w:tcPr>
            <w:tcW w:w="2987" w:type="dxa"/>
            <w:shd w:val="clear" w:color="auto" w:fill="auto"/>
            <w:noWrap/>
            <w:vAlign w:val="center"/>
            <w:hideMark/>
          </w:tcPr>
          <w:p w14:paraId="6DC9E089" w14:textId="77777777" w:rsidR="00461D21" w:rsidRPr="000C49BF" w:rsidRDefault="00461D21" w:rsidP="000F6F1D">
            <w:pPr>
              <w:rPr>
                <w:rFonts w:ascii="Arial" w:hAnsi="Arial" w:cs="Arial"/>
                <w:color w:val="000000"/>
                <w:sz w:val="20"/>
                <w:szCs w:val="20"/>
              </w:rPr>
            </w:pPr>
            <w:r w:rsidRPr="000C49BF">
              <w:rPr>
                <w:rFonts w:ascii="Arial" w:hAnsi="Arial" w:cs="Arial"/>
                <w:color w:val="000000"/>
                <w:sz w:val="20"/>
                <w:szCs w:val="20"/>
              </w:rPr>
              <w:t>Septicemia</w:t>
            </w:r>
          </w:p>
        </w:tc>
        <w:tc>
          <w:tcPr>
            <w:tcW w:w="1200" w:type="dxa"/>
            <w:shd w:val="clear" w:color="auto" w:fill="auto"/>
            <w:noWrap/>
            <w:vAlign w:val="center"/>
          </w:tcPr>
          <w:p w14:paraId="74B7E51F" w14:textId="77777777" w:rsidR="00461D21" w:rsidRPr="000C49BF" w:rsidRDefault="00461D21" w:rsidP="000F6F1D">
            <w:pPr>
              <w:jc w:val="center"/>
              <w:rPr>
                <w:rFonts w:ascii="Arial" w:hAnsi="Arial" w:cs="Arial"/>
                <w:color w:val="000000"/>
                <w:sz w:val="20"/>
                <w:szCs w:val="20"/>
              </w:rPr>
            </w:pPr>
            <w:r w:rsidRPr="000C49BF">
              <w:rPr>
                <w:rFonts w:ascii="Arial" w:hAnsi="Arial" w:cs="Arial"/>
                <w:color w:val="000000"/>
                <w:sz w:val="20"/>
                <w:szCs w:val="20"/>
              </w:rPr>
              <w:t>15.69</w:t>
            </w:r>
          </w:p>
        </w:tc>
      </w:tr>
      <w:tr w:rsidR="00461D21" w:rsidRPr="000C49BF" w14:paraId="2A4363D1" w14:textId="77777777" w:rsidTr="000F6F1D">
        <w:trPr>
          <w:trHeight w:val="300"/>
        </w:trPr>
        <w:tc>
          <w:tcPr>
            <w:tcW w:w="714" w:type="dxa"/>
            <w:shd w:val="clear" w:color="auto" w:fill="auto"/>
            <w:noWrap/>
            <w:vAlign w:val="center"/>
            <w:hideMark/>
          </w:tcPr>
          <w:p w14:paraId="51D2AC7A" w14:textId="77777777" w:rsidR="00461D21" w:rsidRPr="000C49BF" w:rsidRDefault="00461D21" w:rsidP="000F6F1D">
            <w:pPr>
              <w:spacing w:after="0" w:line="240" w:lineRule="auto"/>
              <w:jc w:val="center"/>
              <w:rPr>
                <w:rFonts w:ascii="Arial" w:eastAsia="Times New Roman" w:hAnsi="Arial" w:cs="Arial"/>
                <w:b/>
                <w:i/>
                <w:color w:val="000000"/>
                <w:sz w:val="20"/>
                <w:szCs w:val="20"/>
                <w:lang w:eastAsia="es-MX"/>
              </w:rPr>
            </w:pPr>
            <w:r w:rsidRPr="000C49BF">
              <w:rPr>
                <w:rFonts w:ascii="Arial" w:eastAsia="Times New Roman" w:hAnsi="Arial" w:cs="Arial"/>
                <w:b/>
                <w:i/>
                <w:color w:val="000000"/>
                <w:sz w:val="20"/>
                <w:szCs w:val="20"/>
                <w:lang w:eastAsia="es-MX"/>
              </w:rPr>
              <w:t>3</w:t>
            </w:r>
          </w:p>
        </w:tc>
        <w:tc>
          <w:tcPr>
            <w:tcW w:w="2835" w:type="dxa"/>
            <w:shd w:val="clear" w:color="auto" w:fill="auto"/>
            <w:noWrap/>
            <w:vAlign w:val="center"/>
            <w:hideMark/>
          </w:tcPr>
          <w:p w14:paraId="1A2FAD86" w14:textId="77777777" w:rsidR="00461D21" w:rsidRPr="000C49BF" w:rsidRDefault="00461D21" w:rsidP="000F6F1D">
            <w:pPr>
              <w:rPr>
                <w:rFonts w:ascii="Arial" w:hAnsi="Arial" w:cs="Arial"/>
                <w:color w:val="000000"/>
                <w:sz w:val="20"/>
                <w:szCs w:val="20"/>
              </w:rPr>
            </w:pPr>
            <w:r w:rsidRPr="000C49BF">
              <w:rPr>
                <w:rFonts w:ascii="Arial" w:hAnsi="Arial" w:cs="Arial"/>
                <w:color w:val="000000"/>
                <w:sz w:val="20"/>
                <w:szCs w:val="20"/>
              </w:rPr>
              <w:t>Infecciones  con  un modo de  transmisión  predominantemente sexual</w:t>
            </w:r>
          </w:p>
        </w:tc>
        <w:tc>
          <w:tcPr>
            <w:tcW w:w="1266" w:type="dxa"/>
            <w:shd w:val="clear" w:color="auto" w:fill="auto"/>
            <w:noWrap/>
            <w:vAlign w:val="center"/>
          </w:tcPr>
          <w:p w14:paraId="3220A20E" w14:textId="77777777" w:rsidR="00461D21" w:rsidRPr="000C49BF" w:rsidRDefault="00461D21" w:rsidP="000F6F1D">
            <w:pPr>
              <w:jc w:val="center"/>
              <w:rPr>
                <w:rFonts w:ascii="Arial" w:hAnsi="Arial" w:cs="Arial"/>
                <w:color w:val="000000"/>
                <w:sz w:val="20"/>
                <w:szCs w:val="20"/>
              </w:rPr>
            </w:pPr>
            <w:r w:rsidRPr="000C49BF">
              <w:rPr>
                <w:rFonts w:ascii="Arial" w:hAnsi="Arial" w:cs="Arial"/>
                <w:color w:val="000000"/>
                <w:sz w:val="20"/>
                <w:szCs w:val="20"/>
              </w:rPr>
              <w:t>1.07</w:t>
            </w:r>
          </w:p>
        </w:tc>
        <w:tc>
          <w:tcPr>
            <w:tcW w:w="2987" w:type="dxa"/>
            <w:shd w:val="clear" w:color="auto" w:fill="auto"/>
            <w:noWrap/>
            <w:vAlign w:val="center"/>
            <w:hideMark/>
          </w:tcPr>
          <w:p w14:paraId="28F5CBA7" w14:textId="77777777" w:rsidR="00461D21" w:rsidRPr="000C49BF" w:rsidRDefault="00461D21" w:rsidP="000F6F1D">
            <w:pPr>
              <w:rPr>
                <w:rFonts w:ascii="Arial" w:hAnsi="Arial" w:cs="Arial"/>
                <w:color w:val="000000"/>
                <w:sz w:val="20"/>
                <w:szCs w:val="20"/>
              </w:rPr>
            </w:pPr>
            <w:r w:rsidRPr="000C49BF">
              <w:rPr>
                <w:rFonts w:ascii="Arial" w:hAnsi="Arial" w:cs="Arial"/>
                <w:color w:val="000000"/>
                <w:sz w:val="20"/>
                <w:szCs w:val="20"/>
              </w:rPr>
              <w:t>Infecciones  con  un modo de  transmisión  predominantemente sexual</w:t>
            </w:r>
          </w:p>
        </w:tc>
        <w:tc>
          <w:tcPr>
            <w:tcW w:w="1200" w:type="dxa"/>
            <w:shd w:val="clear" w:color="auto" w:fill="auto"/>
            <w:noWrap/>
            <w:vAlign w:val="center"/>
          </w:tcPr>
          <w:p w14:paraId="789293F7" w14:textId="77777777" w:rsidR="00461D21" w:rsidRPr="000C49BF" w:rsidRDefault="00461D21" w:rsidP="000F6F1D">
            <w:pPr>
              <w:jc w:val="center"/>
              <w:rPr>
                <w:rFonts w:ascii="Arial" w:hAnsi="Arial" w:cs="Arial"/>
                <w:color w:val="000000"/>
                <w:sz w:val="20"/>
                <w:szCs w:val="20"/>
              </w:rPr>
            </w:pPr>
            <w:r w:rsidRPr="000C49BF">
              <w:rPr>
                <w:rFonts w:ascii="Arial" w:hAnsi="Arial" w:cs="Arial"/>
                <w:color w:val="000000"/>
                <w:sz w:val="20"/>
                <w:szCs w:val="20"/>
              </w:rPr>
              <w:t>0.79</w:t>
            </w:r>
          </w:p>
        </w:tc>
      </w:tr>
      <w:tr w:rsidR="00461D21" w:rsidRPr="000C49BF" w14:paraId="6F60BB0E" w14:textId="77777777" w:rsidTr="000F6F1D">
        <w:trPr>
          <w:trHeight w:val="1007"/>
        </w:trPr>
        <w:tc>
          <w:tcPr>
            <w:tcW w:w="714" w:type="dxa"/>
            <w:shd w:val="clear" w:color="auto" w:fill="auto"/>
            <w:noWrap/>
            <w:vAlign w:val="center"/>
            <w:hideMark/>
          </w:tcPr>
          <w:p w14:paraId="765910C7" w14:textId="77777777" w:rsidR="00461D21" w:rsidRPr="000C49BF" w:rsidRDefault="00461D21" w:rsidP="000F6F1D">
            <w:pPr>
              <w:spacing w:after="0" w:line="240" w:lineRule="auto"/>
              <w:jc w:val="center"/>
              <w:rPr>
                <w:rFonts w:ascii="Arial" w:eastAsia="Times New Roman" w:hAnsi="Arial" w:cs="Arial"/>
                <w:b/>
                <w:i/>
                <w:color w:val="000000"/>
                <w:sz w:val="20"/>
                <w:szCs w:val="20"/>
                <w:lang w:eastAsia="es-MX"/>
              </w:rPr>
            </w:pPr>
            <w:r w:rsidRPr="000C49BF">
              <w:rPr>
                <w:rFonts w:ascii="Arial" w:eastAsia="Times New Roman" w:hAnsi="Arial" w:cs="Arial"/>
                <w:b/>
                <w:i/>
                <w:color w:val="000000"/>
                <w:sz w:val="20"/>
                <w:szCs w:val="20"/>
                <w:lang w:eastAsia="es-MX"/>
              </w:rPr>
              <w:t>4</w:t>
            </w:r>
          </w:p>
        </w:tc>
        <w:tc>
          <w:tcPr>
            <w:tcW w:w="2835" w:type="dxa"/>
            <w:shd w:val="clear" w:color="auto" w:fill="auto"/>
            <w:noWrap/>
            <w:vAlign w:val="center"/>
            <w:hideMark/>
          </w:tcPr>
          <w:p w14:paraId="51E5A9EA" w14:textId="77777777" w:rsidR="00461D21" w:rsidRPr="000C49BF" w:rsidRDefault="00461D21" w:rsidP="000F6F1D">
            <w:pPr>
              <w:rPr>
                <w:rFonts w:ascii="Arial" w:hAnsi="Arial" w:cs="Arial"/>
                <w:color w:val="000000"/>
                <w:sz w:val="20"/>
                <w:szCs w:val="20"/>
              </w:rPr>
            </w:pPr>
            <w:r w:rsidRPr="000C49BF">
              <w:rPr>
                <w:rFonts w:ascii="Arial" w:hAnsi="Arial" w:cs="Arial"/>
                <w:color w:val="000000"/>
                <w:sz w:val="20"/>
                <w:szCs w:val="20"/>
              </w:rPr>
              <w:t>Resto de ciertas enfermedades infecciosas y parasitarias</w:t>
            </w:r>
          </w:p>
        </w:tc>
        <w:tc>
          <w:tcPr>
            <w:tcW w:w="1266" w:type="dxa"/>
            <w:shd w:val="clear" w:color="auto" w:fill="auto"/>
            <w:noWrap/>
            <w:vAlign w:val="center"/>
          </w:tcPr>
          <w:p w14:paraId="72B44727" w14:textId="77777777" w:rsidR="00461D21" w:rsidRPr="000C49BF" w:rsidRDefault="00461D21" w:rsidP="000F6F1D">
            <w:pPr>
              <w:jc w:val="center"/>
              <w:rPr>
                <w:rFonts w:ascii="Arial" w:hAnsi="Arial" w:cs="Arial"/>
                <w:color w:val="000000"/>
                <w:sz w:val="20"/>
                <w:szCs w:val="20"/>
              </w:rPr>
            </w:pPr>
            <w:r w:rsidRPr="000C49BF">
              <w:rPr>
                <w:rFonts w:ascii="Arial" w:hAnsi="Arial" w:cs="Arial"/>
                <w:color w:val="000000"/>
                <w:sz w:val="20"/>
                <w:szCs w:val="20"/>
              </w:rPr>
              <w:t>0.42</w:t>
            </w:r>
          </w:p>
        </w:tc>
        <w:tc>
          <w:tcPr>
            <w:tcW w:w="2987" w:type="dxa"/>
            <w:shd w:val="clear" w:color="auto" w:fill="auto"/>
            <w:noWrap/>
            <w:vAlign w:val="center"/>
            <w:hideMark/>
          </w:tcPr>
          <w:p w14:paraId="091A9882" w14:textId="77777777" w:rsidR="00461D21" w:rsidRPr="000C49BF" w:rsidRDefault="00461D21" w:rsidP="000F6F1D">
            <w:pPr>
              <w:rPr>
                <w:rFonts w:ascii="Arial" w:hAnsi="Arial" w:cs="Arial"/>
                <w:color w:val="000000"/>
                <w:sz w:val="20"/>
                <w:szCs w:val="20"/>
              </w:rPr>
            </w:pPr>
            <w:r w:rsidRPr="000C49BF">
              <w:rPr>
                <w:rFonts w:ascii="Arial" w:hAnsi="Arial" w:cs="Arial"/>
                <w:color w:val="000000"/>
                <w:sz w:val="20"/>
                <w:szCs w:val="20"/>
              </w:rPr>
              <w:t>Resto de ciertas enfermedades infecciosas y parasitarias</w:t>
            </w:r>
          </w:p>
        </w:tc>
        <w:tc>
          <w:tcPr>
            <w:tcW w:w="1200" w:type="dxa"/>
            <w:shd w:val="clear" w:color="auto" w:fill="auto"/>
            <w:noWrap/>
            <w:vAlign w:val="center"/>
          </w:tcPr>
          <w:p w14:paraId="5C597816" w14:textId="77777777" w:rsidR="00461D21" w:rsidRPr="000C49BF" w:rsidRDefault="00461D21" w:rsidP="000F6F1D">
            <w:pPr>
              <w:jc w:val="center"/>
              <w:rPr>
                <w:rFonts w:ascii="Arial" w:hAnsi="Arial" w:cs="Arial"/>
                <w:color w:val="000000"/>
                <w:sz w:val="20"/>
                <w:szCs w:val="20"/>
              </w:rPr>
            </w:pPr>
            <w:r w:rsidRPr="000C49BF">
              <w:rPr>
                <w:rFonts w:ascii="Arial" w:hAnsi="Arial" w:cs="Arial"/>
                <w:color w:val="000000"/>
                <w:sz w:val="20"/>
                <w:szCs w:val="20"/>
              </w:rPr>
              <w:t>0.34</w:t>
            </w:r>
          </w:p>
        </w:tc>
      </w:tr>
      <w:tr w:rsidR="00461D21" w:rsidRPr="000C49BF" w14:paraId="421903E7" w14:textId="77777777" w:rsidTr="000F6F1D">
        <w:trPr>
          <w:trHeight w:val="300"/>
        </w:trPr>
        <w:tc>
          <w:tcPr>
            <w:tcW w:w="714" w:type="dxa"/>
            <w:shd w:val="clear" w:color="auto" w:fill="auto"/>
            <w:noWrap/>
            <w:vAlign w:val="center"/>
            <w:hideMark/>
          </w:tcPr>
          <w:p w14:paraId="6CF50AD5" w14:textId="77777777" w:rsidR="00461D21" w:rsidRPr="000C49BF" w:rsidRDefault="00461D21" w:rsidP="000F6F1D">
            <w:pPr>
              <w:spacing w:after="0" w:line="240" w:lineRule="auto"/>
              <w:jc w:val="center"/>
              <w:rPr>
                <w:rFonts w:ascii="Arial" w:eastAsia="Times New Roman" w:hAnsi="Arial" w:cs="Arial"/>
                <w:b/>
                <w:i/>
                <w:color w:val="000000"/>
                <w:sz w:val="20"/>
                <w:szCs w:val="20"/>
                <w:lang w:eastAsia="es-MX"/>
              </w:rPr>
            </w:pPr>
            <w:r w:rsidRPr="000C49BF">
              <w:rPr>
                <w:rFonts w:ascii="Arial" w:eastAsia="Times New Roman" w:hAnsi="Arial" w:cs="Arial"/>
                <w:b/>
                <w:i/>
                <w:color w:val="000000"/>
                <w:sz w:val="20"/>
                <w:szCs w:val="20"/>
                <w:lang w:eastAsia="es-MX"/>
              </w:rPr>
              <w:t>5</w:t>
            </w:r>
          </w:p>
        </w:tc>
        <w:tc>
          <w:tcPr>
            <w:tcW w:w="2835" w:type="dxa"/>
            <w:shd w:val="clear" w:color="auto" w:fill="auto"/>
            <w:noWrap/>
            <w:vAlign w:val="center"/>
            <w:hideMark/>
          </w:tcPr>
          <w:p w14:paraId="0FAD8C3C" w14:textId="77777777" w:rsidR="00461D21" w:rsidRPr="000C49BF" w:rsidRDefault="00461D21" w:rsidP="000F6F1D">
            <w:pPr>
              <w:rPr>
                <w:rFonts w:ascii="Arial" w:hAnsi="Arial" w:cs="Arial"/>
                <w:color w:val="000000"/>
                <w:sz w:val="20"/>
                <w:szCs w:val="20"/>
              </w:rPr>
            </w:pPr>
            <w:r w:rsidRPr="000C49BF">
              <w:rPr>
                <w:rFonts w:ascii="Arial" w:hAnsi="Arial" w:cs="Arial"/>
                <w:color w:val="000000"/>
                <w:sz w:val="20"/>
                <w:szCs w:val="20"/>
              </w:rPr>
              <w:t>Leucemia</w:t>
            </w:r>
          </w:p>
        </w:tc>
        <w:tc>
          <w:tcPr>
            <w:tcW w:w="1266" w:type="dxa"/>
            <w:shd w:val="clear" w:color="auto" w:fill="auto"/>
            <w:noWrap/>
            <w:vAlign w:val="center"/>
          </w:tcPr>
          <w:p w14:paraId="0FE9A135" w14:textId="77777777" w:rsidR="00461D21" w:rsidRPr="000C49BF" w:rsidRDefault="00461D21" w:rsidP="000F6F1D">
            <w:pPr>
              <w:jc w:val="center"/>
              <w:rPr>
                <w:rFonts w:ascii="Arial" w:hAnsi="Arial" w:cs="Arial"/>
                <w:color w:val="000000"/>
                <w:sz w:val="20"/>
                <w:szCs w:val="20"/>
              </w:rPr>
            </w:pPr>
            <w:r w:rsidRPr="000C49BF">
              <w:rPr>
                <w:rFonts w:ascii="Arial" w:hAnsi="Arial" w:cs="Arial"/>
                <w:color w:val="000000"/>
                <w:sz w:val="20"/>
                <w:szCs w:val="20"/>
              </w:rPr>
              <w:t>0.15</w:t>
            </w:r>
          </w:p>
        </w:tc>
        <w:tc>
          <w:tcPr>
            <w:tcW w:w="2987" w:type="dxa"/>
            <w:shd w:val="clear" w:color="auto" w:fill="auto"/>
            <w:noWrap/>
            <w:vAlign w:val="center"/>
            <w:hideMark/>
          </w:tcPr>
          <w:p w14:paraId="10DA25B4" w14:textId="77777777" w:rsidR="00461D21" w:rsidRPr="000C49BF" w:rsidRDefault="00461D21" w:rsidP="000F6F1D">
            <w:pPr>
              <w:rPr>
                <w:rFonts w:ascii="Arial" w:hAnsi="Arial" w:cs="Arial"/>
                <w:color w:val="000000"/>
                <w:sz w:val="20"/>
                <w:szCs w:val="20"/>
              </w:rPr>
            </w:pPr>
            <w:r w:rsidRPr="000C49BF">
              <w:rPr>
                <w:rFonts w:ascii="Arial" w:hAnsi="Arial" w:cs="Arial"/>
                <w:color w:val="000000"/>
                <w:sz w:val="20"/>
                <w:szCs w:val="20"/>
              </w:rPr>
              <w:t>Leucemia</w:t>
            </w:r>
          </w:p>
        </w:tc>
        <w:tc>
          <w:tcPr>
            <w:tcW w:w="1200" w:type="dxa"/>
            <w:shd w:val="clear" w:color="auto" w:fill="auto"/>
            <w:noWrap/>
            <w:vAlign w:val="center"/>
          </w:tcPr>
          <w:p w14:paraId="1BE52DC1" w14:textId="77777777" w:rsidR="00461D21" w:rsidRPr="000C49BF" w:rsidRDefault="00461D21" w:rsidP="000F6F1D">
            <w:pPr>
              <w:jc w:val="center"/>
              <w:rPr>
                <w:rFonts w:ascii="Arial" w:hAnsi="Arial" w:cs="Arial"/>
                <w:color w:val="000000"/>
                <w:sz w:val="20"/>
                <w:szCs w:val="20"/>
              </w:rPr>
            </w:pPr>
            <w:r w:rsidRPr="000C49BF">
              <w:rPr>
                <w:rFonts w:ascii="Arial" w:hAnsi="Arial" w:cs="Arial"/>
                <w:color w:val="000000"/>
                <w:sz w:val="20"/>
                <w:szCs w:val="20"/>
              </w:rPr>
              <w:t>0.13</w:t>
            </w:r>
          </w:p>
        </w:tc>
      </w:tr>
      <w:tr w:rsidR="00461D21" w:rsidRPr="000C49BF" w14:paraId="7DEE5650" w14:textId="77777777" w:rsidTr="000F6F1D">
        <w:trPr>
          <w:trHeight w:val="300"/>
        </w:trPr>
        <w:tc>
          <w:tcPr>
            <w:tcW w:w="714" w:type="dxa"/>
            <w:shd w:val="clear" w:color="auto" w:fill="auto"/>
            <w:noWrap/>
            <w:vAlign w:val="center"/>
            <w:hideMark/>
          </w:tcPr>
          <w:p w14:paraId="54B79700" w14:textId="77777777" w:rsidR="00461D21" w:rsidRPr="000C49BF" w:rsidRDefault="00461D21" w:rsidP="000F6F1D">
            <w:pPr>
              <w:spacing w:after="0" w:line="240" w:lineRule="auto"/>
              <w:jc w:val="center"/>
              <w:rPr>
                <w:rFonts w:ascii="Arial" w:eastAsia="Times New Roman" w:hAnsi="Arial" w:cs="Arial"/>
                <w:b/>
                <w:i/>
                <w:color w:val="000000"/>
                <w:sz w:val="20"/>
                <w:szCs w:val="20"/>
                <w:lang w:eastAsia="es-MX"/>
              </w:rPr>
            </w:pPr>
            <w:r w:rsidRPr="000C49BF">
              <w:rPr>
                <w:rFonts w:ascii="Arial" w:eastAsia="Times New Roman" w:hAnsi="Arial" w:cs="Arial"/>
                <w:b/>
                <w:i/>
                <w:color w:val="000000"/>
                <w:sz w:val="20"/>
                <w:szCs w:val="20"/>
                <w:lang w:eastAsia="es-MX"/>
              </w:rPr>
              <w:t>6</w:t>
            </w:r>
          </w:p>
        </w:tc>
        <w:tc>
          <w:tcPr>
            <w:tcW w:w="2835" w:type="dxa"/>
            <w:shd w:val="clear" w:color="auto" w:fill="auto"/>
            <w:noWrap/>
            <w:vAlign w:val="center"/>
            <w:hideMark/>
          </w:tcPr>
          <w:p w14:paraId="2228ABED" w14:textId="77777777" w:rsidR="00461D21" w:rsidRPr="000C49BF" w:rsidRDefault="00461D21" w:rsidP="000F6F1D">
            <w:pPr>
              <w:rPr>
                <w:rFonts w:ascii="Arial" w:hAnsi="Arial" w:cs="Arial"/>
                <w:color w:val="000000"/>
                <w:sz w:val="20"/>
                <w:szCs w:val="20"/>
              </w:rPr>
            </w:pPr>
            <w:r w:rsidRPr="000C49BF">
              <w:rPr>
                <w:rFonts w:ascii="Arial" w:hAnsi="Arial" w:cs="Arial"/>
                <w:color w:val="000000"/>
                <w:sz w:val="20"/>
                <w:szCs w:val="20"/>
              </w:rPr>
              <w:t>Resto de tumores</w:t>
            </w:r>
          </w:p>
        </w:tc>
        <w:tc>
          <w:tcPr>
            <w:tcW w:w="1266" w:type="dxa"/>
            <w:shd w:val="clear" w:color="auto" w:fill="auto"/>
            <w:noWrap/>
            <w:vAlign w:val="center"/>
          </w:tcPr>
          <w:p w14:paraId="0D585D2C" w14:textId="77777777" w:rsidR="00461D21" w:rsidRPr="000C49BF" w:rsidRDefault="00461D21" w:rsidP="000F6F1D">
            <w:pPr>
              <w:jc w:val="center"/>
              <w:rPr>
                <w:rFonts w:ascii="Arial" w:hAnsi="Arial" w:cs="Arial"/>
                <w:color w:val="000000"/>
                <w:sz w:val="20"/>
                <w:szCs w:val="20"/>
              </w:rPr>
            </w:pPr>
            <w:r w:rsidRPr="000C49BF">
              <w:rPr>
                <w:rFonts w:ascii="Arial" w:hAnsi="Arial" w:cs="Arial"/>
                <w:color w:val="000000"/>
                <w:sz w:val="20"/>
                <w:szCs w:val="20"/>
              </w:rPr>
              <w:t>0.14</w:t>
            </w:r>
          </w:p>
        </w:tc>
        <w:tc>
          <w:tcPr>
            <w:tcW w:w="2987" w:type="dxa"/>
            <w:shd w:val="clear" w:color="auto" w:fill="auto"/>
            <w:noWrap/>
            <w:vAlign w:val="center"/>
          </w:tcPr>
          <w:p w14:paraId="11FB0BB2" w14:textId="77777777" w:rsidR="00461D21" w:rsidRPr="000C49BF" w:rsidRDefault="00461D21" w:rsidP="000F6F1D">
            <w:pPr>
              <w:rPr>
                <w:rFonts w:ascii="Arial" w:hAnsi="Arial" w:cs="Arial"/>
                <w:color w:val="000000"/>
                <w:sz w:val="20"/>
                <w:szCs w:val="20"/>
              </w:rPr>
            </w:pPr>
            <w:r w:rsidRPr="000C49BF">
              <w:rPr>
                <w:rFonts w:ascii="Arial" w:hAnsi="Arial" w:cs="Arial"/>
                <w:color w:val="000000"/>
                <w:sz w:val="20"/>
                <w:szCs w:val="20"/>
              </w:rPr>
              <w:t>Resto de tumores</w:t>
            </w:r>
          </w:p>
        </w:tc>
        <w:tc>
          <w:tcPr>
            <w:tcW w:w="1200" w:type="dxa"/>
            <w:shd w:val="clear" w:color="auto" w:fill="auto"/>
            <w:noWrap/>
            <w:vAlign w:val="center"/>
          </w:tcPr>
          <w:p w14:paraId="66FC73AB" w14:textId="77777777" w:rsidR="00461D21" w:rsidRPr="000C49BF" w:rsidRDefault="00461D21" w:rsidP="000F6F1D">
            <w:pPr>
              <w:jc w:val="center"/>
              <w:rPr>
                <w:rFonts w:ascii="Arial" w:hAnsi="Arial" w:cs="Arial"/>
                <w:color w:val="000000"/>
                <w:sz w:val="20"/>
                <w:szCs w:val="20"/>
              </w:rPr>
            </w:pPr>
            <w:r w:rsidRPr="000C49BF">
              <w:rPr>
                <w:rFonts w:ascii="Arial" w:hAnsi="Arial" w:cs="Arial"/>
                <w:color w:val="000000"/>
                <w:sz w:val="20"/>
                <w:szCs w:val="20"/>
              </w:rPr>
              <w:t>0.11</w:t>
            </w:r>
          </w:p>
        </w:tc>
      </w:tr>
      <w:tr w:rsidR="00461D21" w:rsidRPr="000C49BF" w14:paraId="616803A8" w14:textId="77777777" w:rsidTr="000F6F1D">
        <w:trPr>
          <w:trHeight w:val="300"/>
        </w:trPr>
        <w:tc>
          <w:tcPr>
            <w:tcW w:w="714" w:type="dxa"/>
            <w:shd w:val="clear" w:color="auto" w:fill="auto"/>
            <w:noWrap/>
            <w:vAlign w:val="center"/>
            <w:hideMark/>
          </w:tcPr>
          <w:p w14:paraId="3B722A2F" w14:textId="77777777" w:rsidR="00461D21" w:rsidRPr="000C49BF" w:rsidRDefault="00461D21" w:rsidP="000F6F1D">
            <w:pPr>
              <w:spacing w:after="0" w:line="240" w:lineRule="auto"/>
              <w:jc w:val="center"/>
              <w:rPr>
                <w:rFonts w:ascii="Arial" w:eastAsia="Times New Roman" w:hAnsi="Arial" w:cs="Arial"/>
                <w:b/>
                <w:i/>
                <w:color w:val="000000"/>
                <w:sz w:val="20"/>
                <w:szCs w:val="20"/>
                <w:lang w:eastAsia="es-MX"/>
              </w:rPr>
            </w:pPr>
            <w:r w:rsidRPr="000C49BF">
              <w:rPr>
                <w:rFonts w:ascii="Arial" w:eastAsia="Times New Roman" w:hAnsi="Arial" w:cs="Arial"/>
                <w:b/>
                <w:i/>
                <w:color w:val="000000"/>
                <w:sz w:val="20"/>
                <w:szCs w:val="20"/>
                <w:lang w:eastAsia="es-MX"/>
              </w:rPr>
              <w:t>7</w:t>
            </w:r>
          </w:p>
        </w:tc>
        <w:tc>
          <w:tcPr>
            <w:tcW w:w="2835" w:type="dxa"/>
            <w:shd w:val="clear" w:color="auto" w:fill="auto"/>
            <w:noWrap/>
            <w:vAlign w:val="center"/>
            <w:hideMark/>
          </w:tcPr>
          <w:p w14:paraId="25C90EF0" w14:textId="77777777" w:rsidR="00461D21" w:rsidRPr="000C49BF" w:rsidRDefault="00461D21" w:rsidP="000F6F1D">
            <w:pPr>
              <w:rPr>
                <w:rFonts w:ascii="Arial" w:hAnsi="Arial" w:cs="Arial"/>
                <w:color w:val="000000"/>
                <w:sz w:val="20"/>
                <w:szCs w:val="20"/>
              </w:rPr>
            </w:pPr>
            <w:r w:rsidRPr="000C49BF">
              <w:rPr>
                <w:rFonts w:ascii="Arial" w:hAnsi="Arial" w:cs="Arial"/>
                <w:color w:val="000000"/>
                <w:sz w:val="20"/>
                <w:szCs w:val="20"/>
              </w:rPr>
              <w:t>Anemias</w:t>
            </w:r>
          </w:p>
        </w:tc>
        <w:tc>
          <w:tcPr>
            <w:tcW w:w="1266" w:type="dxa"/>
            <w:shd w:val="clear" w:color="auto" w:fill="auto"/>
            <w:noWrap/>
            <w:vAlign w:val="center"/>
          </w:tcPr>
          <w:p w14:paraId="2D4EDA11" w14:textId="77777777" w:rsidR="00461D21" w:rsidRPr="000C49BF" w:rsidRDefault="00461D21" w:rsidP="000F6F1D">
            <w:pPr>
              <w:jc w:val="center"/>
              <w:rPr>
                <w:rFonts w:ascii="Arial" w:hAnsi="Arial" w:cs="Arial"/>
                <w:color w:val="000000"/>
                <w:sz w:val="20"/>
                <w:szCs w:val="20"/>
              </w:rPr>
            </w:pPr>
            <w:r w:rsidRPr="000C49BF">
              <w:rPr>
                <w:rFonts w:ascii="Arial" w:hAnsi="Arial" w:cs="Arial"/>
                <w:color w:val="000000"/>
                <w:sz w:val="20"/>
                <w:szCs w:val="20"/>
              </w:rPr>
              <w:t>0.11</w:t>
            </w:r>
          </w:p>
        </w:tc>
        <w:tc>
          <w:tcPr>
            <w:tcW w:w="2987" w:type="dxa"/>
            <w:shd w:val="clear" w:color="auto" w:fill="auto"/>
            <w:noWrap/>
            <w:vAlign w:val="center"/>
          </w:tcPr>
          <w:p w14:paraId="45107F97" w14:textId="77777777" w:rsidR="00461D21" w:rsidRPr="000C49BF" w:rsidRDefault="00461D21" w:rsidP="000F6F1D">
            <w:pPr>
              <w:rPr>
                <w:rFonts w:ascii="Arial" w:hAnsi="Arial" w:cs="Arial"/>
                <w:color w:val="000000"/>
                <w:sz w:val="20"/>
                <w:szCs w:val="20"/>
              </w:rPr>
            </w:pPr>
            <w:r w:rsidRPr="000C49BF">
              <w:rPr>
                <w:rFonts w:ascii="Arial" w:hAnsi="Arial" w:cs="Arial"/>
                <w:color w:val="000000"/>
                <w:sz w:val="20"/>
                <w:szCs w:val="20"/>
              </w:rPr>
              <w:t>Anemias</w:t>
            </w:r>
          </w:p>
        </w:tc>
        <w:tc>
          <w:tcPr>
            <w:tcW w:w="1200" w:type="dxa"/>
            <w:shd w:val="clear" w:color="auto" w:fill="auto"/>
            <w:noWrap/>
            <w:vAlign w:val="center"/>
          </w:tcPr>
          <w:p w14:paraId="24FB8D4A" w14:textId="77777777" w:rsidR="00461D21" w:rsidRPr="000C49BF" w:rsidRDefault="00461D21" w:rsidP="000F6F1D">
            <w:pPr>
              <w:jc w:val="center"/>
              <w:rPr>
                <w:rFonts w:ascii="Arial" w:hAnsi="Arial" w:cs="Arial"/>
                <w:color w:val="000000"/>
                <w:sz w:val="20"/>
                <w:szCs w:val="20"/>
              </w:rPr>
            </w:pPr>
            <w:r w:rsidRPr="000C49BF">
              <w:rPr>
                <w:rFonts w:ascii="Arial" w:hAnsi="Arial" w:cs="Arial"/>
                <w:color w:val="000000"/>
                <w:sz w:val="20"/>
                <w:szCs w:val="20"/>
              </w:rPr>
              <w:t>0.09</w:t>
            </w:r>
          </w:p>
        </w:tc>
      </w:tr>
      <w:tr w:rsidR="00461D21" w:rsidRPr="000C49BF" w14:paraId="30216D0D" w14:textId="77777777" w:rsidTr="000F6F1D">
        <w:trPr>
          <w:trHeight w:val="300"/>
        </w:trPr>
        <w:tc>
          <w:tcPr>
            <w:tcW w:w="714" w:type="dxa"/>
            <w:shd w:val="clear" w:color="auto" w:fill="auto"/>
            <w:noWrap/>
            <w:vAlign w:val="center"/>
            <w:hideMark/>
          </w:tcPr>
          <w:p w14:paraId="6E613193" w14:textId="77777777" w:rsidR="00461D21" w:rsidRPr="000C49BF" w:rsidRDefault="00461D21" w:rsidP="000F6F1D">
            <w:pPr>
              <w:spacing w:after="0" w:line="240" w:lineRule="auto"/>
              <w:jc w:val="center"/>
              <w:rPr>
                <w:rFonts w:ascii="Arial" w:eastAsia="Times New Roman" w:hAnsi="Arial" w:cs="Arial"/>
                <w:b/>
                <w:i/>
                <w:color w:val="000000"/>
                <w:sz w:val="20"/>
                <w:szCs w:val="20"/>
                <w:lang w:eastAsia="es-MX"/>
              </w:rPr>
            </w:pPr>
            <w:r w:rsidRPr="000C49BF">
              <w:rPr>
                <w:rFonts w:ascii="Arial" w:eastAsia="Times New Roman" w:hAnsi="Arial" w:cs="Arial"/>
                <w:b/>
                <w:i/>
                <w:color w:val="000000"/>
                <w:sz w:val="20"/>
                <w:szCs w:val="20"/>
                <w:lang w:eastAsia="es-MX"/>
              </w:rPr>
              <w:t>8</w:t>
            </w:r>
          </w:p>
        </w:tc>
        <w:tc>
          <w:tcPr>
            <w:tcW w:w="2835" w:type="dxa"/>
            <w:shd w:val="clear" w:color="auto" w:fill="auto"/>
            <w:noWrap/>
            <w:vAlign w:val="center"/>
            <w:hideMark/>
          </w:tcPr>
          <w:p w14:paraId="21B7C3AC" w14:textId="77777777" w:rsidR="00461D21" w:rsidRPr="000C49BF" w:rsidRDefault="00461D21" w:rsidP="000F6F1D">
            <w:pPr>
              <w:rPr>
                <w:rFonts w:ascii="Arial" w:hAnsi="Arial" w:cs="Arial"/>
                <w:color w:val="000000"/>
                <w:sz w:val="20"/>
                <w:szCs w:val="20"/>
              </w:rPr>
            </w:pPr>
            <w:r w:rsidRPr="000C49BF">
              <w:rPr>
                <w:rFonts w:ascii="Arial" w:hAnsi="Arial" w:cs="Arial"/>
                <w:color w:val="000000"/>
                <w:sz w:val="20"/>
                <w:szCs w:val="20"/>
              </w:rPr>
              <w:t xml:space="preserve">Resto  de enfermedades de la sangre y de los órganos   hematopoyéticos, y ciertos </w:t>
            </w:r>
            <w:r w:rsidRPr="000C49BF">
              <w:rPr>
                <w:rFonts w:ascii="Arial" w:hAnsi="Arial" w:cs="Arial"/>
                <w:color w:val="000000"/>
                <w:sz w:val="20"/>
                <w:szCs w:val="20"/>
              </w:rPr>
              <w:lastRenderedPageBreak/>
              <w:t>trastornos que afectan el mecanismo de la inmunidad</w:t>
            </w:r>
          </w:p>
        </w:tc>
        <w:tc>
          <w:tcPr>
            <w:tcW w:w="1266" w:type="dxa"/>
            <w:shd w:val="clear" w:color="auto" w:fill="auto"/>
            <w:noWrap/>
            <w:vAlign w:val="center"/>
          </w:tcPr>
          <w:p w14:paraId="21DA6D49" w14:textId="77777777" w:rsidR="00461D21" w:rsidRPr="000C49BF" w:rsidRDefault="00461D21" w:rsidP="000F6F1D">
            <w:pPr>
              <w:jc w:val="center"/>
              <w:rPr>
                <w:rFonts w:ascii="Arial" w:hAnsi="Arial" w:cs="Arial"/>
                <w:color w:val="000000"/>
                <w:sz w:val="20"/>
                <w:szCs w:val="20"/>
              </w:rPr>
            </w:pPr>
            <w:r w:rsidRPr="000C49BF">
              <w:rPr>
                <w:rFonts w:ascii="Arial" w:hAnsi="Arial" w:cs="Arial"/>
                <w:color w:val="000000"/>
                <w:sz w:val="20"/>
                <w:szCs w:val="20"/>
              </w:rPr>
              <w:lastRenderedPageBreak/>
              <w:t>0.09</w:t>
            </w:r>
          </w:p>
        </w:tc>
        <w:tc>
          <w:tcPr>
            <w:tcW w:w="2987" w:type="dxa"/>
            <w:shd w:val="clear" w:color="auto" w:fill="auto"/>
            <w:noWrap/>
            <w:vAlign w:val="center"/>
          </w:tcPr>
          <w:p w14:paraId="539F4E27" w14:textId="77777777" w:rsidR="00461D21" w:rsidRPr="000C49BF" w:rsidRDefault="00461D21" w:rsidP="000F6F1D">
            <w:pPr>
              <w:rPr>
                <w:rFonts w:ascii="Arial" w:hAnsi="Arial" w:cs="Arial"/>
                <w:color w:val="000000"/>
                <w:sz w:val="20"/>
                <w:szCs w:val="20"/>
              </w:rPr>
            </w:pPr>
            <w:r w:rsidRPr="000C49BF">
              <w:rPr>
                <w:rFonts w:ascii="Arial" w:hAnsi="Arial" w:cs="Arial"/>
                <w:color w:val="000000"/>
                <w:sz w:val="20"/>
                <w:szCs w:val="20"/>
              </w:rPr>
              <w:t xml:space="preserve">Resto  de enfermedades de la sangre y de los órganos   hematopoyéticos, y ciertos </w:t>
            </w:r>
            <w:r w:rsidRPr="000C49BF">
              <w:rPr>
                <w:rFonts w:ascii="Arial" w:hAnsi="Arial" w:cs="Arial"/>
                <w:color w:val="000000"/>
                <w:sz w:val="20"/>
                <w:szCs w:val="20"/>
              </w:rPr>
              <w:lastRenderedPageBreak/>
              <w:t>trastornos que afectan el mecanismo de la inmunidad</w:t>
            </w:r>
          </w:p>
        </w:tc>
        <w:tc>
          <w:tcPr>
            <w:tcW w:w="1200" w:type="dxa"/>
            <w:shd w:val="clear" w:color="auto" w:fill="auto"/>
            <w:noWrap/>
            <w:vAlign w:val="center"/>
          </w:tcPr>
          <w:p w14:paraId="218616B2" w14:textId="77777777" w:rsidR="00461D21" w:rsidRPr="000C49BF" w:rsidRDefault="00461D21" w:rsidP="000F6F1D">
            <w:pPr>
              <w:jc w:val="center"/>
              <w:rPr>
                <w:rFonts w:ascii="Arial" w:hAnsi="Arial" w:cs="Arial"/>
                <w:color w:val="000000"/>
                <w:sz w:val="20"/>
                <w:szCs w:val="20"/>
              </w:rPr>
            </w:pPr>
            <w:r w:rsidRPr="000C49BF">
              <w:rPr>
                <w:rFonts w:ascii="Arial" w:hAnsi="Arial" w:cs="Arial"/>
                <w:color w:val="000000"/>
                <w:sz w:val="20"/>
                <w:szCs w:val="20"/>
              </w:rPr>
              <w:lastRenderedPageBreak/>
              <w:t>0.08</w:t>
            </w:r>
          </w:p>
        </w:tc>
      </w:tr>
      <w:tr w:rsidR="00461D21" w:rsidRPr="000C49BF" w14:paraId="2FAE4264" w14:textId="77777777" w:rsidTr="000F6F1D">
        <w:trPr>
          <w:trHeight w:val="300"/>
        </w:trPr>
        <w:tc>
          <w:tcPr>
            <w:tcW w:w="714" w:type="dxa"/>
            <w:shd w:val="clear" w:color="auto" w:fill="auto"/>
            <w:noWrap/>
            <w:vAlign w:val="center"/>
            <w:hideMark/>
          </w:tcPr>
          <w:p w14:paraId="0D616304" w14:textId="77777777" w:rsidR="00461D21" w:rsidRPr="000C49BF" w:rsidRDefault="00461D21" w:rsidP="000F6F1D">
            <w:pPr>
              <w:spacing w:after="0" w:line="240" w:lineRule="auto"/>
              <w:jc w:val="center"/>
              <w:rPr>
                <w:rFonts w:ascii="Arial" w:eastAsia="Times New Roman" w:hAnsi="Arial" w:cs="Arial"/>
                <w:b/>
                <w:i/>
                <w:color w:val="000000"/>
                <w:sz w:val="20"/>
                <w:szCs w:val="20"/>
                <w:lang w:eastAsia="es-MX"/>
              </w:rPr>
            </w:pPr>
            <w:r w:rsidRPr="000C49BF">
              <w:rPr>
                <w:rFonts w:ascii="Arial" w:eastAsia="Times New Roman" w:hAnsi="Arial" w:cs="Arial"/>
                <w:b/>
                <w:i/>
                <w:color w:val="000000"/>
                <w:sz w:val="20"/>
                <w:szCs w:val="20"/>
                <w:lang w:eastAsia="es-MX"/>
              </w:rPr>
              <w:t>9</w:t>
            </w:r>
          </w:p>
        </w:tc>
        <w:tc>
          <w:tcPr>
            <w:tcW w:w="2835" w:type="dxa"/>
            <w:shd w:val="clear" w:color="auto" w:fill="auto"/>
            <w:noWrap/>
            <w:vAlign w:val="center"/>
            <w:hideMark/>
          </w:tcPr>
          <w:p w14:paraId="6C205B61" w14:textId="77777777" w:rsidR="00461D21" w:rsidRPr="000C49BF" w:rsidRDefault="00461D21" w:rsidP="000F6F1D">
            <w:pPr>
              <w:rPr>
                <w:rFonts w:ascii="Arial" w:hAnsi="Arial" w:cs="Arial"/>
                <w:color w:val="000000"/>
                <w:sz w:val="20"/>
                <w:szCs w:val="20"/>
              </w:rPr>
            </w:pPr>
            <w:r w:rsidRPr="000C49BF">
              <w:rPr>
                <w:rFonts w:ascii="Arial" w:hAnsi="Arial" w:cs="Arial"/>
                <w:color w:val="000000"/>
                <w:sz w:val="20"/>
                <w:szCs w:val="20"/>
              </w:rPr>
              <w:t>Desnutrición</w:t>
            </w:r>
          </w:p>
        </w:tc>
        <w:tc>
          <w:tcPr>
            <w:tcW w:w="1266" w:type="dxa"/>
            <w:shd w:val="clear" w:color="auto" w:fill="auto"/>
            <w:noWrap/>
            <w:vAlign w:val="center"/>
          </w:tcPr>
          <w:p w14:paraId="305E8AA8" w14:textId="77777777" w:rsidR="00461D21" w:rsidRPr="000C49BF" w:rsidRDefault="00461D21" w:rsidP="000F6F1D">
            <w:pPr>
              <w:jc w:val="center"/>
              <w:rPr>
                <w:rFonts w:ascii="Arial" w:hAnsi="Arial" w:cs="Arial"/>
                <w:color w:val="000000"/>
                <w:sz w:val="20"/>
                <w:szCs w:val="20"/>
              </w:rPr>
            </w:pPr>
            <w:r w:rsidRPr="000C49BF">
              <w:rPr>
                <w:rFonts w:ascii="Arial" w:hAnsi="Arial" w:cs="Arial"/>
                <w:color w:val="000000"/>
                <w:sz w:val="20"/>
                <w:szCs w:val="20"/>
              </w:rPr>
              <w:t>0.09</w:t>
            </w:r>
          </w:p>
        </w:tc>
        <w:tc>
          <w:tcPr>
            <w:tcW w:w="2987" w:type="dxa"/>
            <w:shd w:val="clear" w:color="auto" w:fill="auto"/>
            <w:noWrap/>
            <w:vAlign w:val="center"/>
          </w:tcPr>
          <w:p w14:paraId="35FA1098" w14:textId="77777777" w:rsidR="00461D21" w:rsidRPr="000C49BF" w:rsidRDefault="00461D21" w:rsidP="000F6F1D">
            <w:pPr>
              <w:rPr>
                <w:rFonts w:ascii="Arial" w:hAnsi="Arial" w:cs="Arial"/>
                <w:color w:val="000000"/>
                <w:sz w:val="20"/>
                <w:szCs w:val="20"/>
              </w:rPr>
            </w:pPr>
            <w:r w:rsidRPr="000C49BF">
              <w:rPr>
                <w:rFonts w:ascii="Arial" w:hAnsi="Arial" w:cs="Arial"/>
                <w:color w:val="000000"/>
                <w:sz w:val="20"/>
                <w:szCs w:val="20"/>
              </w:rPr>
              <w:t>Desnutrición</w:t>
            </w:r>
          </w:p>
        </w:tc>
        <w:tc>
          <w:tcPr>
            <w:tcW w:w="1200" w:type="dxa"/>
            <w:shd w:val="clear" w:color="auto" w:fill="auto"/>
            <w:noWrap/>
            <w:vAlign w:val="center"/>
          </w:tcPr>
          <w:p w14:paraId="555B6E96" w14:textId="77777777" w:rsidR="00461D21" w:rsidRPr="000C49BF" w:rsidRDefault="00461D21" w:rsidP="000F6F1D">
            <w:pPr>
              <w:jc w:val="center"/>
              <w:rPr>
                <w:rFonts w:ascii="Arial" w:hAnsi="Arial" w:cs="Arial"/>
                <w:color w:val="000000"/>
                <w:sz w:val="20"/>
                <w:szCs w:val="20"/>
              </w:rPr>
            </w:pPr>
            <w:r w:rsidRPr="000C49BF">
              <w:rPr>
                <w:rFonts w:ascii="Arial" w:hAnsi="Arial" w:cs="Arial"/>
                <w:color w:val="000000"/>
                <w:sz w:val="20"/>
                <w:szCs w:val="20"/>
              </w:rPr>
              <w:t>0.07</w:t>
            </w:r>
          </w:p>
        </w:tc>
      </w:tr>
      <w:tr w:rsidR="00461D21" w:rsidRPr="000C49BF" w14:paraId="53CECA2C" w14:textId="77777777" w:rsidTr="000F6F1D">
        <w:trPr>
          <w:trHeight w:val="300"/>
        </w:trPr>
        <w:tc>
          <w:tcPr>
            <w:tcW w:w="714" w:type="dxa"/>
            <w:shd w:val="clear" w:color="auto" w:fill="auto"/>
            <w:noWrap/>
            <w:vAlign w:val="center"/>
            <w:hideMark/>
          </w:tcPr>
          <w:p w14:paraId="4B35BE42" w14:textId="77777777" w:rsidR="00461D21" w:rsidRPr="000C49BF" w:rsidRDefault="00461D21" w:rsidP="000F6F1D">
            <w:pPr>
              <w:spacing w:after="0" w:line="240" w:lineRule="auto"/>
              <w:jc w:val="center"/>
              <w:rPr>
                <w:rFonts w:ascii="Arial" w:eastAsia="Times New Roman" w:hAnsi="Arial" w:cs="Arial"/>
                <w:b/>
                <w:i/>
                <w:color w:val="000000"/>
                <w:sz w:val="20"/>
                <w:szCs w:val="20"/>
                <w:lang w:eastAsia="es-MX"/>
              </w:rPr>
            </w:pPr>
            <w:r w:rsidRPr="000C49BF">
              <w:rPr>
                <w:rFonts w:ascii="Arial" w:eastAsia="Times New Roman" w:hAnsi="Arial" w:cs="Arial"/>
                <w:b/>
                <w:i/>
                <w:color w:val="000000"/>
                <w:sz w:val="20"/>
                <w:szCs w:val="20"/>
                <w:lang w:eastAsia="es-MX"/>
              </w:rPr>
              <w:t>10</w:t>
            </w:r>
          </w:p>
        </w:tc>
        <w:tc>
          <w:tcPr>
            <w:tcW w:w="2835" w:type="dxa"/>
            <w:shd w:val="clear" w:color="auto" w:fill="auto"/>
            <w:noWrap/>
            <w:vAlign w:val="center"/>
            <w:hideMark/>
          </w:tcPr>
          <w:p w14:paraId="67D0D233" w14:textId="77777777" w:rsidR="00461D21" w:rsidRPr="000C49BF" w:rsidRDefault="00461D21" w:rsidP="000F6F1D">
            <w:pPr>
              <w:rPr>
                <w:rFonts w:ascii="Arial" w:hAnsi="Arial" w:cs="Arial"/>
                <w:color w:val="000000"/>
                <w:sz w:val="20"/>
                <w:szCs w:val="20"/>
              </w:rPr>
            </w:pPr>
            <w:r w:rsidRPr="000C49BF">
              <w:rPr>
                <w:rFonts w:ascii="Arial" w:hAnsi="Arial" w:cs="Arial"/>
                <w:color w:val="000000"/>
                <w:sz w:val="20"/>
                <w:szCs w:val="20"/>
              </w:rPr>
              <w:t>Resto de enfermedades endocrinas, nutricionales y metabólicas</w:t>
            </w:r>
          </w:p>
        </w:tc>
        <w:tc>
          <w:tcPr>
            <w:tcW w:w="1266" w:type="dxa"/>
            <w:shd w:val="clear" w:color="auto" w:fill="auto"/>
            <w:noWrap/>
            <w:vAlign w:val="center"/>
          </w:tcPr>
          <w:p w14:paraId="511CE1C4" w14:textId="77777777" w:rsidR="00461D21" w:rsidRPr="000C49BF" w:rsidRDefault="00461D21" w:rsidP="000F6F1D">
            <w:pPr>
              <w:jc w:val="center"/>
              <w:rPr>
                <w:rFonts w:ascii="Arial" w:hAnsi="Arial" w:cs="Arial"/>
                <w:color w:val="000000"/>
                <w:sz w:val="20"/>
                <w:szCs w:val="20"/>
              </w:rPr>
            </w:pPr>
            <w:r w:rsidRPr="000C49BF">
              <w:rPr>
                <w:rFonts w:ascii="Arial" w:hAnsi="Arial" w:cs="Arial"/>
                <w:color w:val="000000"/>
                <w:sz w:val="20"/>
                <w:szCs w:val="20"/>
              </w:rPr>
              <w:t>0.08</w:t>
            </w:r>
          </w:p>
        </w:tc>
        <w:tc>
          <w:tcPr>
            <w:tcW w:w="2987" w:type="dxa"/>
            <w:shd w:val="clear" w:color="auto" w:fill="auto"/>
            <w:noWrap/>
            <w:vAlign w:val="center"/>
          </w:tcPr>
          <w:p w14:paraId="5C0E03FA" w14:textId="77777777" w:rsidR="00461D21" w:rsidRPr="000C49BF" w:rsidRDefault="00461D21" w:rsidP="000F6F1D">
            <w:pPr>
              <w:rPr>
                <w:rFonts w:ascii="Arial" w:hAnsi="Arial" w:cs="Arial"/>
                <w:color w:val="000000"/>
                <w:sz w:val="20"/>
                <w:szCs w:val="20"/>
              </w:rPr>
            </w:pPr>
            <w:r w:rsidRPr="000C49BF">
              <w:rPr>
                <w:rFonts w:ascii="Arial" w:hAnsi="Arial" w:cs="Arial"/>
                <w:color w:val="000000"/>
                <w:sz w:val="20"/>
                <w:szCs w:val="20"/>
              </w:rPr>
              <w:t>Resto de enfermedades endocrinas, nutricionales y metabólicas</w:t>
            </w:r>
          </w:p>
        </w:tc>
        <w:tc>
          <w:tcPr>
            <w:tcW w:w="1200" w:type="dxa"/>
            <w:shd w:val="clear" w:color="auto" w:fill="auto"/>
            <w:noWrap/>
            <w:vAlign w:val="center"/>
          </w:tcPr>
          <w:p w14:paraId="20BB7D9E" w14:textId="77777777" w:rsidR="00461D21" w:rsidRPr="000C49BF" w:rsidRDefault="00461D21" w:rsidP="000F6F1D">
            <w:pPr>
              <w:jc w:val="center"/>
              <w:rPr>
                <w:rFonts w:ascii="Arial" w:hAnsi="Arial" w:cs="Arial"/>
                <w:color w:val="000000"/>
                <w:sz w:val="20"/>
                <w:szCs w:val="20"/>
              </w:rPr>
            </w:pPr>
            <w:r w:rsidRPr="000C49BF">
              <w:rPr>
                <w:rFonts w:ascii="Arial" w:hAnsi="Arial" w:cs="Arial"/>
                <w:color w:val="000000"/>
                <w:sz w:val="20"/>
                <w:szCs w:val="20"/>
              </w:rPr>
              <w:t>0.07</w:t>
            </w:r>
          </w:p>
        </w:tc>
      </w:tr>
    </w:tbl>
    <w:p w14:paraId="3F2EE788" w14:textId="3261456F" w:rsidR="00461D21" w:rsidRPr="00310DC4" w:rsidRDefault="000C49BF" w:rsidP="00461D21">
      <w:pPr>
        <w:spacing w:line="360" w:lineRule="auto"/>
        <w:ind w:firstLine="708"/>
        <w:jc w:val="both"/>
        <w:rPr>
          <w:rFonts w:ascii="Arial" w:hAnsi="Arial" w:cs="Arial"/>
          <w:sz w:val="18"/>
        </w:rPr>
      </w:pPr>
      <w:r>
        <w:rPr>
          <w:rFonts w:ascii="Arial" w:hAnsi="Arial" w:cs="Arial"/>
          <w:b/>
          <w:sz w:val="18"/>
        </w:rPr>
        <w:t xml:space="preserve">                                </w:t>
      </w:r>
      <w:r w:rsidR="00461D21" w:rsidRPr="00310DC4">
        <w:rPr>
          <w:rFonts w:ascii="Arial" w:hAnsi="Arial" w:cs="Arial"/>
          <w:b/>
          <w:sz w:val="18"/>
        </w:rPr>
        <w:t>Fuente:</w:t>
      </w:r>
      <w:r w:rsidR="00461D21" w:rsidRPr="00310DC4">
        <w:rPr>
          <w:rFonts w:ascii="Arial" w:hAnsi="Arial" w:cs="Arial"/>
          <w:sz w:val="18"/>
        </w:rPr>
        <w:t xml:space="preserve"> Elaboración propia con </w:t>
      </w:r>
      <w:r w:rsidR="00461D21">
        <w:rPr>
          <w:rFonts w:ascii="Arial" w:hAnsi="Arial" w:cs="Arial"/>
          <w:sz w:val="18"/>
        </w:rPr>
        <w:t>base en SSA (2019</w:t>
      </w:r>
      <w:r w:rsidR="00461D21" w:rsidRPr="00310DC4">
        <w:rPr>
          <w:rFonts w:ascii="Arial" w:hAnsi="Arial" w:cs="Arial"/>
          <w:sz w:val="18"/>
        </w:rPr>
        <w:t>).</w:t>
      </w:r>
    </w:p>
    <w:p w14:paraId="05751551" w14:textId="608BB163" w:rsidR="00461D21" w:rsidRPr="005B6CA1" w:rsidRDefault="00461D21" w:rsidP="00461D21">
      <w:pPr>
        <w:spacing w:line="360" w:lineRule="auto"/>
        <w:jc w:val="both"/>
        <w:rPr>
          <w:rFonts w:ascii="Arial" w:hAnsi="Arial" w:cs="Arial"/>
        </w:rPr>
      </w:pPr>
      <w:r>
        <w:rPr>
          <w:rFonts w:ascii="Arial" w:hAnsi="Arial" w:cs="Arial"/>
        </w:rPr>
        <w:t>Es importante mencionar que estas causas de mortalidad son totalmente evitables, ya que la sociedad tiene un alto potencial para transformar su proceso de salud-enfermedad-muerte</w:t>
      </w:r>
      <w:r>
        <w:rPr>
          <w:rStyle w:val="Refdenotaalpie"/>
          <w:rFonts w:ascii="Arial" w:hAnsi="Arial" w:cs="Arial"/>
        </w:rPr>
        <w:footnoteReference w:id="37"/>
      </w:r>
      <w:r>
        <w:rPr>
          <w:rFonts w:ascii="Arial" w:hAnsi="Arial" w:cs="Arial"/>
        </w:rPr>
        <w:t>; sin embargo, en este tipo de muertes se pierde un alta prop</w:t>
      </w:r>
      <w:r w:rsidR="002E54CE">
        <w:rPr>
          <w:rFonts w:ascii="Arial" w:hAnsi="Arial" w:cs="Arial"/>
        </w:rPr>
        <w:t>orción de población que</w:t>
      </w:r>
      <w:r>
        <w:rPr>
          <w:rFonts w:ascii="Arial" w:hAnsi="Arial" w:cs="Arial"/>
        </w:rPr>
        <w:t xml:space="preserve"> tiene un alto potencial de capacidades productivas, cognitivas, reproductivas y físicas, y en consecuencia, lo cual lleva a un decrecimiento y estancamiento de la esperanza de vida en México</w:t>
      </w:r>
      <w:r>
        <w:rPr>
          <w:rStyle w:val="Refdenotaalpie"/>
          <w:rFonts w:ascii="Arial" w:hAnsi="Arial" w:cs="Arial"/>
        </w:rPr>
        <w:footnoteReference w:id="38"/>
      </w:r>
      <w:r>
        <w:rPr>
          <w:rFonts w:ascii="Arial" w:hAnsi="Arial" w:cs="Arial"/>
        </w:rPr>
        <w:t>. Por último, e</w:t>
      </w:r>
      <w:r w:rsidRPr="005B6CA1">
        <w:rPr>
          <w:rFonts w:ascii="Arial" w:hAnsi="Arial" w:cs="Arial"/>
        </w:rPr>
        <w:t>s importante señalar que diversas circunstancias de la dinámica epidemiológica no son en absoluto un signo de progreso, en cambio, son la expresión de modos deficientes de industrialización, urbanización</w:t>
      </w:r>
      <w:r>
        <w:rPr>
          <w:rFonts w:ascii="Arial" w:hAnsi="Arial" w:cs="Arial"/>
        </w:rPr>
        <w:t>, servicios</w:t>
      </w:r>
      <w:r w:rsidRPr="005B6CA1">
        <w:rPr>
          <w:rFonts w:ascii="Arial" w:hAnsi="Arial" w:cs="Arial"/>
        </w:rPr>
        <w:t xml:space="preserve"> y consumo masivo que se traducen, entre otros, en problemas de contaminación atmosférica, </w:t>
      </w:r>
      <w:r>
        <w:rPr>
          <w:rFonts w:ascii="Arial" w:hAnsi="Arial" w:cs="Arial"/>
        </w:rPr>
        <w:t>inequitativo acceso a los servicios básicos, accidentes, negación de derechos humanos básico, así como en otros problemas sociales</w:t>
      </w:r>
      <w:r w:rsidRPr="005B6CA1">
        <w:rPr>
          <w:rStyle w:val="Refdenotaalpie"/>
          <w:rFonts w:ascii="Arial" w:hAnsi="Arial" w:cs="Arial"/>
        </w:rPr>
        <w:footnoteReference w:id="39"/>
      </w:r>
      <w:r w:rsidRPr="005B6CA1">
        <w:rPr>
          <w:rFonts w:ascii="Arial" w:hAnsi="Arial" w:cs="Arial"/>
        </w:rPr>
        <w:t>.</w:t>
      </w:r>
    </w:p>
    <w:p w14:paraId="0D11A385" w14:textId="383D529C" w:rsidR="00F92AA1" w:rsidRDefault="006046FB" w:rsidP="0082403C">
      <w:pPr>
        <w:spacing w:line="360" w:lineRule="auto"/>
        <w:jc w:val="both"/>
        <w:rPr>
          <w:rFonts w:ascii="Arial" w:hAnsi="Arial" w:cs="Arial"/>
          <w:b/>
        </w:rPr>
      </w:pPr>
      <w:r>
        <w:rPr>
          <w:rFonts w:ascii="Arial" w:hAnsi="Arial" w:cs="Arial"/>
          <w:b/>
        </w:rPr>
        <w:t>2</w:t>
      </w:r>
      <w:r w:rsidR="005B44CA">
        <w:rPr>
          <w:rFonts w:ascii="Arial" w:hAnsi="Arial" w:cs="Arial"/>
          <w:b/>
        </w:rPr>
        <w:t>.5.</w:t>
      </w:r>
      <w:r w:rsidR="00B350E5">
        <w:rPr>
          <w:rFonts w:ascii="Arial" w:hAnsi="Arial" w:cs="Arial"/>
          <w:b/>
        </w:rPr>
        <w:t xml:space="preserve"> </w:t>
      </w:r>
      <w:r w:rsidR="00F92AA1" w:rsidRPr="00F92AA1">
        <w:rPr>
          <w:rFonts w:ascii="Arial" w:hAnsi="Arial" w:cs="Arial"/>
          <w:b/>
        </w:rPr>
        <w:t xml:space="preserve">Provisión global de especialistas y </w:t>
      </w:r>
      <w:r w:rsidR="00B10A12">
        <w:rPr>
          <w:rFonts w:ascii="Arial" w:hAnsi="Arial" w:cs="Arial"/>
          <w:b/>
        </w:rPr>
        <w:t>servicios de Neonat</w:t>
      </w:r>
      <w:r w:rsidR="004361ED">
        <w:rPr>
          <w:rFonts w:ascii="Arial" w:hAnsi="Arial" w:cs="Arial"/>
          <w:b/>
        </w:rPr>
        <w:t>ología</w:t>
      </w:r>
      <w:r w:rsidR="00F92AA1">
        <w:rPr>
          <w:rFonts w:ascii="Arial" w:hAnsi="Arial" w:cs="Arial"/>
          <w:b/>
        </w:rPr>
        <w:t>.</w:t>
      </w:r>
      <w:r w:rsidR="00F92AA1" w:rsidRPr="00F92AA1">
        <w:rPr>
          <w:rFonts w:ascii="Arial" w:hAnsi="Arial" w:cs="Arial"/>
          <w:b/>
        </w:rPr>
        <w:t xml:space="preserve"> </w:t>
      </w:r>
    </w:p>
    <w:p w14:paraId="07302EAD" w14:textId="77777777" w:rsidR="000F6F1D" w:rsidRDefault="000F6F1D" w:rsidP="000F6F1D">
      <w:pPr>
        <w:spacing w:line="360" w:lineRule="auto"/>
        <w:jc w:val="both"/>
        <w:rPr>
          <w:rFonts w:ascii="Arial" w:hAnsi="Arial" w:cs="Arial"/>
        </w:rPr>
      </w:pPr>
      <w:r>
        <w:rPr>
          <w:rFonts w:ascii="Arial" w:hAnsi="Arial" w:cs="Arial"/>
        </w:rPr>
        <w:t>En México, para el año 2017, había 147,910 médicos especialistas (37.4% mujeres y 62.6% hombres), lo cual implica una tasa de 11.92 especialistas por cada 10,000 habitantes. De la población de médicos especialistas, en promedio, 69% de ellos contaban con certificación vigente de los consejos médicos de sus respectivas especialidades</w:t>
      </w:r>
      <w:r>
        <w:rPr>
          <w:rStyle w:val="Refdenotaalpie"/>
          <w:rFonts w:ascii="Arial" w:hAnsi="Arial" w:cs="Arial"/>
        </w:rPr>
        <w:footnoteReference w:id="40"/>
      </w:r>
      <w:r>
        <w:rPr>
          <w:rFonts w:ascii="Arial" w:hAnsi="Arial" w:cs="Arial"/>
        </w:rPr>
        <w:t xml:space="preserve">. Asimismo, es importante mencionar que en México; al respecto, el promedio de proporciones de la Organización para la Cooperación y el Desarrollo Económicos (OCDE) es 63% para </w:t>
      </w:r>
      <w:r>
        <w:rPr>
          <w:rFonts w:ascii="Arial" w:hAnsi="Arial" w:cs="Arial"/>
        </w:rPr>
        <w:lastRenderedPageBreak/>
        <w:t>médicos especialistas y 30% para médicos generales, por lo cual, en términos proporcionales, México está por arriba de dicho promedio</w:t>
      </w:r>
      <w:r>
        <w:rPr>
          <w:rStyle w:val="Refdenotaalpie"/>
          <w:rFonts w:ascii="Arial" w:hAnsi="Arial" w:cs="Arial"/>
        </w:rPr>
        <w:footnoteReference w:id="41"/>
      </w:r>
      <w:r>
        <w:rPr>
          <w:rFonts w:ascii="Arial" w:hAnsi="Arial" w:cs="Arial"/>
        </w:rPr>
        <w:t xml:space="preserve">. </w:t>
      </w:r>
    </w:p>
    <w:p w14:paraId="5E7B54AC" w14:textId="5FE1FDD6" w:rsidR="000F6F1D" w:rsidRDefault="000F6F1D" w:rsidP="000F6F1D">
      <w:pPr>
        <w:spacing w:line="360" w:lineRule="auto"/>
        <w:jc w:val="both"/>
        <w:rPr>
          <w:rFonts w:ascii="Arial" w:hAnsi="Arial" w:cs="Arial"/>
        </w:rPr>
      </w:pPr>
      <w:r>
        <w:rPr>
          <w:rFonts w:ascii="Arial" w:hAnsi="Arial" w:cs="Arial"/>
        </w:rPr>
        <w:t>Por otro lado, en México, durante el pe</w:t>
      </w:r>
      <w:r w:rsidR="003F04BE">
        <w:rPr>
          <w:rFonts w:ascii="Arial" w:hAnsi="Arial" w:cs="Arial"/>
        </w:rPr>
        <w:t>ríodo 2000-2017 (Gráfica 3</w:t>
      </w:r>
      <w:r>
        <w:rPr>
          <w:rFonts w:ascii="Arial" w:hAnsi="Arial" w:cs="Arial"/>
        </w:rPr>
        <w:t>) se puede observar una tendencia a la alza de los especialistas en el país, el cual se ha correspondido con el crecimiento poblacional, no obstante el ritmo de crecimiento ha sido paulatino e insuficiente para cubrir la demanda y necesidades de atención en salud de la población nacional. Muestra de lo anterior es que el número de especialistas en el país es mucho menor; por ejemplo, el promedio en la OCDE es de 2.22 especialistas por cada 10,000 habitantes, siendo así, México se situaría en la posición 26 del indicador (</w:t>
      </w:r>
      <w:r w:rsidR="003F04BE">
        <w:rPr>
          <w:rFonts w:ascii="Arial" w:hAnsi="Arial" w:cs="Arial"/>
        </w:rPr>
        <w:t>Gráfica 4</w:t>
      </w:r>
      <w:r>
        <w:rPr>
          <w:rFonts w:ascii="Arial" w:hAnsi="Arial" w:cs="Arial"/>
        </w:rPr>
        <w:t>), pero si la tasa se calculara sólo con datos de los médicos especialistas en el sector salud, el indicador se reduciría aún más</w:t>
      </w:r>
      <w:r>
        <w:rPr>
          <w:rStyle w:val="Refdenotaalpie"/>
          <w:rFonts w:ascii="Arial" w:hAnsi="Arial" w:cs="Arial"/>
        </w:rPr>
        <w:footnoteReference w:id="42"/>
      </w:r>
      <w:r>
        <w:rPr>
          <w:rFonts w:ascii="Arial" w:hAnsi="Arial" w:cs="Arial"/>
        </w:rPr>
        <w:t>.</w:t>
      </w:r>
    </w:p>
    <w:p w14:paraId="3C6C42AB" w14:textId="16E6382C" w:rsidR="000F6F1D" w:rsidRPr="000B1A58" w:rsidRDefault="000F6F1D" w:rsidP="000F6F1D">
      <w:pPr>
        <w:spacing w:after="0" w:line="360" w:lineRule="auto"/>
        <w:jc w:val="center"/>
        <w:rPr>
          <w:rFonts w:ascii="Arial" w:hAnsi="Arial" w:cs="Arial"/>
          <w:b/>
        </w:rPr>
      </w:pPr>
      <w:r w:rsidRPr="000B1A58">
        <w:rPr>
          <w:rFonts w:ascii="Arial" w:hAnsi="Arial" w:cs="Arial"/>
          <w:b/>
        </w:rPr>
        <w:t>Gráfica</w:t>
      </w:r>
      <w:r w:rsidR="003F04BE">
        <w:rPr>
          <w:rFonts w:ascii="Arial" w:hAnsi="Arial" w:cs="Arial"/>
          <w:b/>
        </w:rPr>
        <w:t xml:space="preserve"> 3</w:t>
      </w:r>
      <w:r w:rsidRPr="000B1A58">
        <w:rPr>
          <w:rFonts w:ascii="Arial" w:hAnsi="Arial" w:cs="Arial"/>
          <w:b/>
        </w:rPr>
        <w:t>. Evolución de los médicos especialistas en México, 2000-2017.</w:t>
      </w:r>
    </w:p>
    <w:p w14:paraId="20468173" w14:textId="77777777" w:rsidR="000F6F1D" w:rsidRDefault="000F6F1D" w:rsidP="000F6F1D">
      <w:pPr>
        <w:spacing w:after="0" w:line="360" w:lineRule="auto"/>
        <w:jc w:val="both"/>
        <w:rPr>
          <w:rFonts w:ascii="Arial" w:hAnsi="Arial" w:cs="Arial"/>
        </w:rPr>
      </w:pPr>
      <w:r>
        <w:rPr>
          <w:noProof/>
          <w:lang w:eastAsia="es-MX"/>
        </w:rPr>
        <w:drawing>
          <wp:inline distT="0" distB="0" distL="0" distR="0" wp14:anchorId="76723C31" wp14:editId="177C0CC7">
            <wp:extent cx="5612130" cy="2573655"/>
            <wp:effectExtent l="0" t="0" r="7620" b="17145"/>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4BE0DEC3" w14:textId="18EC3DFB" w:rsidR="000F6F1D" w:rsidRPr="00D80542" w:rsidRDefault="000F6F1D" w:rsidP="000F6F1D">
      <w:pPr>
        <w:spacing w:after="0" w:line="360" w:lineRule="auto"/>
        <w:ind w:firstLine="708"/>
        <w:jc w:val="both"/>
        <w:rPr>
          <w:rFonts w:ascii="Arial" w:hAnsi="Arial" w:cs="Arial"/>
          <w:sz w:val="18"/>
        </w:rPr>
      </w:pPr>
      <w:r w:rsidRPr="00D80542">
        <w:rPr>
          <w:rFonts w:ascii="Arial" w:hAnsi="Arial" w:cs="Arial"/>
          <w:b/>
          <w:sz w:val="18"/>
        </w:rPr>
        <w:t xml:space="preserve">Fuente: </w:t>
      </w:r>
      <w:r w:rsidRPr="00D80542">
        <w:rPr>
          <w:rFonts w:ascii="Arial" w:hAnsi="Arial" w:cs="Arial"/>
          <w:sz w:val="18"/>
        </w:rPr>
        <w:t xml:space="preserve">Elaboración propia con base en OCDE (2017) y Heinze </w:t>
      </w:r>
      <w:r w:rsidRPr="00D80542">
        <w:rPr>
          <w:rFonts w:ascii="Arial" w:hAnsi="Arial" w:cs="Arial"/>
          <w:i/>
          <w:sz w:val="18"/>
        </w:rPr>
        <w:t>et al.</w:t>
      </w:r>
      <w:r w:rsidRPr="00D80542">
        <w:rPr>
          <w:rFonts w:ascii="Arial" w:hAnsi="Arial" w:cs="Arial"/>
          <w:sz w:val="18"/>
        </w:rPr>
        <w:t xml:space="preserve"> (2018).</w:t>
      </w:r>
    </w:p>
    <w:p w14:paraId="71330C5D" w14:textId="77777777" w:rsidR="00396BFB" w:rsidRDefault="00396BFB" w:rsidP="000F6F1D">
      <w:pPr>
        <w:spacing w:after="0" w:line="360" w:lineRule="auto"/>
        <w:ind w:left="708"/>
        <w:jc w:val="both"/>
        <w:rPr>
          <w:rFonts w:ascii="Arial" w:hAnsi="Arial" w:cs="Arial"/>
          <w:b/>
          <w:sz w:val="18"/>
        </w:rPr>
      </w:pPr>
    </w:p>
    <w:p w14:paraId="0CCEAB58" w14:textId="5504757F" w:rsidR="000F6F1D" w:rsidRDefault="000F6F1D" w:rsidP="000F6F1D">
      <w:pPr>
        <w:spacing w:after="0" w:line="360" w:lineRule="auto"/>
        <w:ind w:left="708"/>
        <w:jc w:val="both"/>
        <w:rPr>
          <w:rFonts w:ascii="Arial" w:hAnsi="Arial" w:cs="Arial"/>
        </w:rPr>
      </w:pPr>
      <w:r w:rsidRPr="00D80542">
        <w:rPr>
          <w:rFonts w:ascii="Arial" w:hAnsi="Arial" w:cs="Arial"/>
          <w:b/>
          <w:sz w:val="18"/>
        </w:rPr>
        <w:t>Nota</w:t>
      </w:r>
      <w:r w:rsidRPr="00D80542">
        <w:rPr>
          <w:rFonts w:ascii="Arial" w:hAnsi="Arial" w:cs="Arial"/>
          <w:sz w:val="18"/>
        </w:rPr>
        <w:t xml:space="preserve">: Las cifras 2000-2016 corresponden a las publicadas por la OCDE, para 2017 la estimación se hizo en función de las estimaciones de Heinze </w:t>
      </w:r>
      <w:r w:rsidRPr="000C7D4F">
        <w:rPr>
          <w:rFonts w:ascii="Arial" w:hAnsi="Arial" w:cs="Arial"/>
          <w:i/>
          <w:sz w:val="18"/>
        </w:rPr>
        <w:t>e</w:t>
      </w:r>
      <w:r w:rsidR="00063D0E">
        <w:rPr>
          <w:rFonts w:ascii="Arial" w:hAnsi="Arial" w:cs="Arial"/>
          <w:i/>
          <w:sz w:val="18"/>
        </w:rPr>
        <w:t>t</w:t>
      </w:r>
      <w:r w:rsidRPr="000C7D4F">
        <w:rPr>
          <w:rFonts w:ascii="Arial" w:hAnsi="Arial" w:cs="Arial"/>
          <w:i/>
          <w:sz w:val="18"/>
        </w:rPr>
        <w:t xml:space="preserve"> al.</w:t>
      </w:r>
      <w:r w:rsidRPr="00D80542">
        <w:rPr>
          <w:rFonts w:ascii="Arial" w:hAnsi="Arial" w:cs="Arial"/>
          <w:sz w:val="18"/>
        </w:rPr>
        <w:t xml:space="preserve"> (2018) y de las proyecciones de población de CONAPO.</w:t>
      </w:r>
      <w:r>
        <w:rPr>
          <w:rFonts w:ascii="Arial" w:hAnsi="Arial" w:cs="Arial"/>
        </w:rPr>
        <w:t xml:space="preserve"> </w:t>
      </w:r>
    </w:p>
    <w:p w14:paraId="6F9013E6" w14:textId="77777777" w:rsidR="000F6F1D" w:rsidRDefault="000F6F1D" w:rsidP="000F6F1D">
      <w:pPr>
        <w:spacing w:after="0" w:line="360" w:lineRule="auto"/>
        <w:jc w:val="center"/>
        <w:rPr>
          <w:rFonts w:ascii="Arial" w:hAnsi="Arial" w:cs="Arial"/>
        </w:rPr>
      </w:pPr>
    </w:p>
    <w:p w14:paraId="055862F5" w14:textId="77777777" w:rsidR="000F6F1D" w:rsidRDefault="000F6F1D" w:rsidP="000F6F1D">
      <w:pPr>
        <w:spacing w:after="0" w:line="360" w:lineRule="auto"/>
        <w:jc w:val="center"/>
        <w:rPr>
          <w:rFonts w:ascii="Arial" w:hAnsi="Arial" w:cs="Arial"/>
        </w:rPr>
      </w:pPr>
    </w:p>
    <w:p w14:paraId="2AD902FC" w14:textId="77777777" w:rsidR="000F6F1D" w:rsidRDefault="000F6F1D" w:rsidP="000F6F1D">
      <w:pPr>
        <w:spacing w:after="0" w:line="360" w:lineRule="auto"/>
        <w:jc w:val="center"/>
        <w:rPr>
          <w:rFonts w:ascii="Arial" w:hAnsi="Arial" w:cs="Arial"/>
        </w:rPr>
      </w:pPr>
    </w:p>
    <w:p w14:paraId="625436F1" w14:textId="77777777" w:rsidR="000F6F1D" w:rsidRDefault="000F6F1D" w:rsidP="000F6F1D">
      <w:pPr>
        <w:spacing w:after="0" w:line="360" w:lineRule="auto"/>
        <w:jc w:val="center"/>
        <w:rPr>
          <w:rFonts w:ascii="Arial" w:hAnsi="Arial" w:cs="Arial"/>
        </w:rPr>
      </w:pPr>
    </w:p>
    <w:p w14:paraId="53CC9AA2" w14:textId="77777777" w:rsidR="000F6F1D" w:rsidRDefault="000F6F1D" w:rsidP="000F6F1D">
      <w:pPr>
        <w:spacing w:after="0" w:line="360" w:lineRule="auto"/>
        <w:jc w:val="center"/>
        <w:rPr>
          <w:rFonts w:ascii="Arial" w:hAnsi="Arial" w:cs="Arial"/>
        </w:rPr>
      </w:pPr>
    </w:p>
    <w:p w14:paraId="1EBC6A99" w14:textId="3738C50F" w:rsidR="000F6F1D" w:rsidRPr="00B153DC" w:rsidRDefault="000F6F1D" w:rsidP="000F6F1D">
      <w:pPr>
        <w:spacing w:after="0" w:line="360" w:lineRule="auto"/>
        <w:jc w:val="center"/>
        <w:rPr>
          <w:rFonts w:ascii="Arial" w:hAnsi="Arial" w:cs="Arial"/>
          <w:b/>
        </w:rPr>
      </w:pPr>
      <w:r>
        <w:rPr>
          <w:rFonts w:ascii="Arial" w:hAnsi="Arial" w:cs="Arial"/>
        </w:rPr>
        <w:t xml:space="preserve"> </w:t>
      </w:r>
      <w:r w:rsidRPr="00B153DC">
        <w:rPr>
          <w:rFonts w:ascii="Arial" w:hAnsi="Arial" w:cs="Arial"/>
          <w:b/>
        </w:rPr>
        <w:t>Gráfica</w:t>
      </w:r>
      <w:r w:rsidR="003F04BE">
        <w:rPr>
          <w:rFonts w:ascii="Arial" w:hAnsi="Arial" w:cs="Arial"/>
          <w:b/>
        </w:rPr>
        <w:t xml:space="preserve"> 4</w:t>
      </w:r>
      <w:r w:rsidRPr="00B153DC">
        <w:rPr>
          <w:rFonts w:ascii="Arial" w:hAnsi="Arial" w:cs="Arial"/>
          <w:b/>
        </w:rPr>
        <w:t>. Médicos especialistas por 1,000 habitantes diversos países de la OCDE, 2015.</w:t>
      </w:r>
    </w:p>
    <w:p w14:paraId="3D523112" w14:textId="77777777" w:rsidR="000F6F1D" w:rsidRDefault="000F6F1D" w:rsidP="000F6F1D">
      <w:pPr>
        <w:spacing w:after="0" w:line="360" w:lineRule="auto"/>
        <w:jc w:val="center"/>
        <w:rPr>
          <w:rFonts w:ascii="Arial" w:hAnsi="Arial" w:cs="Arial"/>
        </w:rPr>
      </w:pPr>
      <w:r>
        <w:rPr>
          <w:noProof/>
          <w:lang w:eastAsia="es-MX"/>
        </w:rPr>
        <w:drawing>
          <wp:inline distT="0" distB="0" distL="0" distR="0" wp14:anchorId="0D02F434" wp14:editId="455F346D">
            <wp:extent cx="5019675" cy="2986088"/>
            <wp:effectExtent l="0" t="0" r="9525" b="5080"/>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15314FF1" w14:textId="77777777" w:rsidR="000F6F1D" w:rsidRPr="00B350E5" w:rsidRDefault="000F6F1D" w:rsidP="000F6F1D">
      <w:pPr>
        <w:spacing w:after="0" w:line="360" w:lineRule="auto"/>
        <w:jc w:val="center"/>
        <w:rPr>
          <w:rFonts w:ascii="Arial" w:hAnsi="Arial" w:cs="Arial"/>
          <w:sz w:val="18"/>
        </w:rPr>
      </w:pPr>
      <w:r w:rsidRPr="00D329F3">
        <w:rPr>
          <w:rFonts w:ascii="Arial" w:hAnsi="Arial" w:cs="Arial"/>
          <w:b/>
          <w:sz w:val="18"/>
        </w:rPr>
        <w:t>Fuente:</w:t>
      </w:r>
      <w:r w:rsidRPr="00D329F3">
        <w:rPr>
          <w:rFonts w:ascii="Arial" w:hAnsi="Arial" w:cs="Arial"/>
          <w:sz w:val="18"/>
        </w:rPr>
        <w:t xml:space="preserve"> Elaboración propia con base en OCDE (2017).</w:t>
      </w:r>
    </w:p>
    <w:p w14:paraId="1FD48035" w14:textId="77777777" w:rsidR="000F6F1D" w:rsidRDefault="000F6F1D" w:rsidP="000F6F1D">
      <w:pPr>
        <w:spacing w:line="360" w:lineRule="auto"/>
        <w:jc w:val="both"/>
        <w:rPr>
          <w:rFonts w:ascii="Arial" w:hAnsi="Arial" w:cs="Arial"/>
        </w:rPr>
      </w:pPr>
      <w:r>
        <w:rPr>
          <w:rFonts w:ascii="Arial" w:hAnsi="Arial" w:cs="Arial"/>
        </w:rPr>
        <w:t xml:space="preserve"> </w:t>
      </w:r>
    </w:p>
    <w:p w14:paraId="0C54E65F" w14:textId="77777777" w:rsidR="002E54CE" w:rsidRDefault="000F6F1D" w:rsidP="002E54CE">
      <w:pPr>
        <w:spacing w:after="80" w:line="360" w:lineRule="auto"/>
        <w:jc w:val="both"/>
        <w:rPr>
          <w:rFonts w:ascii="Arial" w:hAnsi="Arial" w:cs="Arial"/>
        </w:rPr>
      </w:pPr>
      <w:r>
        <w:rPr>
          <w:rFonts w:ascii="Arial" w:hAnsi="Arial" w:cs="Arial"/>
        </w:rPr>
        <w:t xml:space="preserve">Respecto a los especialistas en Neonatología, se estima que para México en 2017 había </w:t>
      </w:r>
    </w:p>
    <w:p w14:paraId="364738D0" w14:textId="22575B43" w:rsidR="000F6F1D" w:rsidRDefault="000F6F1D" w:rsidP="000F6F1D">
      <w:pPr>
        <w:spacing w:line="360" w:lineRule="auto"/>
        <w:jc w:val="both"/>
        <w:rPr>
          <w:rFonts w:ascii="Arial" w:hAnsi="Arial" w:cs="Arial"/>
        </w:rPr>
      </w:pPr>
      <w:r>
        <w:rPr>
          <w:rFonts w:ascii="Arial" w:hAnsi="Arial" w:cs="Arial"/>
        </w:rPr>
        <w:t>1, 716 médicos en dicha especialidad, lo cual equivale a una tasa de 7.8 neonat</w:t>
      </w:r>
      <w:r w:rsidR="003F04BE">
        <w:rPr>
          <w:rFonts w:ascii="Arial" w:hAnsi="Arial" w:cs="Arial"/>
        </w:rPr>
        <w:t>ó</w:t>
      </w:r>
      <w:r>
        <w:rPr>
          <w:rFonts w:ascii="Arial" w:hAnsi="Arial" w:cs="Arial"/>
        </w:rPr>
        <w:t xml:space="preserve">logos por cada 10,000 nacimientos. Además, 64.2% de estos especialistas </w:t>
      </w:r>
      <w:r w:rsidRPr="00075DED">
        <w:rPr>
          <w:rFonts w:ascii="Arial" w:hAnsi="Arial" w:cs="Arial"/>
        </w:rPr>
        <w:t>t</w:t>
      </w:r>
      <w:r>
        <w:rPr>
          <w:rFonts w:ascii="Arial" w:hAnsi="Arial" w:cs="Arial"/>
        </w:rPr>
        <w:t>ienen una certificación vigente por su respectivo colegio</w:t>
      </w:r>
      <w:r>
        <w:rPr>
          <w:rStyle w:val="Refdenotaalpie"/>
          <w:rFonts w:ascii="Arial" w:hAnsi="Arial" w:cs="Arial"/>
        </w:rPr>
        <w:footnoteReference w:id="43"/>
      </w:r>
      <w:r>
        <w:rPr>
          <w:rFonts w:ascii="Arial" w:hAnsi="Arial" w:cs="Arial"/>
        </w:rPr>
        <w:t>. Respecto al sector donde trabajan, estimaciones señalan que 70% laboran en instituciones de carácter público</w:t>
      </w:r>
      <w:r>
        <w:rPr>
          <w:rStyle w:val="Refdenotaalpie"/>
          <w:rFonts w:ascii="Arial" w:hAnsi="Arial" w:cs="Arial"/>
        </w:rPr>
        <w:footnoteReference w:id="44"/>
      </w:r>
      <w:r>
        <w:rPr>
          <w:rFonts w:ascii="Arial" w:hAnsi="Arial" w:cs="Arial"/>
        </w:rPr>
        <w:t>. No obstante,</w:t>
      </w:r>
      <w:r w:rsidRPr="00075DED">
        <w:rPr>
          <w:rFonts w:ascii="Arial" w:hAnsi="Arial" w:cs="Arial"/>
        </w:rPr>
        <w:t xml:space="preserve"> es importante mencionar que una considerable proporción de médicos especialistas en México –alrededor de 30%– trabajan de forma simultánea en el sector público y privado, por lo cual podría existir la posibilidad de un doble conteo</w:t>
      </w:r>
      <w:r>
        <w:rPr>
          <w:rStyle w:val="Refdenotaalpie"/>
          <w:rFonts w:ascii="Arial" w:hAnsi="Arial" w:cs="Arial"/>
        </w:rPr>
        <w:footnoteReference w:id="45"/>
      </w:r>
      <w:r w:rsidRPr="00075DED">
        <w:rPr>
          <w:rFonts w:ascii="Arial" w:hAnsi="Arial" w:cs="Arial"/>
        </w:rPr>
        <w:t xml:space="preserve">.   </w:t>
      </w:r>
    </w:p>
    <w:p w14:paraId="655B48F2" w14:textId="77777777" w:rsidR="000F6F1D" w:rsidRDefault="000F6F1D" w:rsidP="000F6F1D">
      <w:pPr>
        <w:spacing w:line="360" w:lineRule="auto"/>
        <w:jc w:val="both"/>
        <w:rPr>
          <w:rFonts w:ascii="Arial" w:hAnsi="Arial" w:cs="Arial"/>
        </w:rPr>
      </w:pPr>
      <w:r>
        <w:rPr>
          <w:rFonts w:ascii="Arial" w:hAnsi="Arial" w:cs="Arial"/>
        </w:rPr>
        <w:t xml:space="preserve">Respecto a los servicios de neonatología, el acercamiento sería a través de los egresos hospitalarios, es decir, el seguimiento de estos sería similar a la morbilidad hospitalaria </w:t>
      </w:r>
      <w:r>
        <w:rPr>
          <w:rFonts w:ascii="Arial" w:hAnsi="Arial" w:cs="Arial"/>
        </w:rPr>
        <w:lastRenderedPageBreak/>
        <w:t>neonatal, la cual fue explicada en el apartado correspondiente. Resumiendo brevemente, durante 2017 se habrían otorgado casi 117 mil servicios de neonatología, de los cuales 84% corresponde a afecciones originadas en el período perinatal</w:t>
      </w:r>
      <w:r>
        <w:rPr>
          <w:rStyle w:val="Refdenotaalpie"/>
          <w:rFonts w:ascii="Arial" w:hAnsi="Arial" w:cs="Arial"/>
        </w:rPr>
        <w:footnoteReference w:id="46"/>
      </w:r>
      <w:r>
        <w:rPr>
          <w:rFonts w:ascii="Arial" w:hAnsi="Arial" w:cs="Arial"/>
        </w:rPr>
        <w:t xml:space="preserve">. </w:t>
      </w:r>
    </w:p>
    <w:p w14:paraId="7A0A4D64" w14:textId="146B6760" w:rsidR="000F6F1D" w:rsidRDefault="000F6F1D" w:rsidP="000F6F1D">
      <w:pPr>
        <w:spacing w:line="360" w:lineRule="auto"/>
        <w:jc w:val="both"/>
        <w:rPr>
          <w:rFonts w:ascii="Arial" w:hAnsi="Arial" w:cs="Arial"/>
        </w:rPr>
      </w:pPr>
      <w:r>
        <w:rPr>
          <w:rFonts w:ascii="Arial" w:hAnsi="Arial" w:cs="Arial"/>
        </w:rPr>
        <w:t>Aunado a lo anterior, es importante notar la inequitativa distribución geográfica de médicos pediatras y servicios otorgados en neonatología (Cuadro 4). Respecto a la distribución de los especialistas, un poc</w:t>
      </w:r>
      <w:r w:rsidR="003F04BE">
        <w:rPr>
          <w:rFonts w:ascii="Arial" w:hAnsi="Arial" w:cs="Arial"/>
        </w:rPr>
        <w:t>o más de la mitad de los neonató</w:t>
      </w:r>
      <w:r>
        <w:rPr>
          <w:rFonts w:ascii="Arial" w:hAnsi="Arial" w:cs="Arial"/>
        </w:rPr>
        <w:t>logos disponibles en el país (51%) se concentra en las entidades de las tres principales metrópolis del país: Ciudad de México (45.61 especialistas por 10,000 nacimientos), Nuevo León (18.46 especialistas) y Jalisco (7.33 especialistas)</w:t>
      </w:r>
      <w:r>
        <w:rPr>
          <w:rStyle w:val="Refdenotaalpie"/>
          <w:rFonts w:ascii="Arial" w:hAnsi="Arial" w:cs="Arial"/>
        </w:rPr>
        <w:footnoteReference w:id="47"/>
      </w:r>
      <w:r>
        <w:rPr>
          <w:rFonts w:ascii="Arial" w:hAnsi="Arial" w:cs="Arial"/>
        </w:rPr>
        <w:t>. En cambio, las ent</w:t>
      </w:r>
      <w:r w:rsidR="003F04BE">
        <w:rPr>
          <w:rFonts w:ascii="Arial" w:hAnsi="Arial" w:cs="Arial"/>
        </w:rPr>
        <w:t>idades con menor tasa de neonató</w:t>
      </w:r>
      <w:r>
        <w:rPr>
          <w:rFonts w:ascii="Arial" w:hAnsi="Arial" w:cs="Arial"/>
        </w:rPr>
        <w:t>logos son Chiapas, Campeche y Guerrero</w:t>
      </w:r>
      <w:r>
        <w:rPr>
          <w:rStyle w:val="Refdenotaalpie"/>
          <w:rFonts w:ascii="Arial" w:hAnsi="Arial" w:cs="Arial"/>
        </w:rPr>
        <w:footnoteReference w:id="48"/>
      </w:r>
      <w:r>
        <w:rPr>
          <w:rFonts w:ascii="Arial" w:hAnsi="Arial" w:cs="Arial"/>
        </w:rPr>
        <w:t xml:space="preserve"> </w:t>
      </w:r>
      <w:r>
        <w:rPr>
          <w:rStyle w:val="Refdenotaalpie"/>
          <w:rFonts w:ascii="Arial" w:hAnsi="Arial" w:cs="Arial"/>
        </w:rPr>
        <w:footnoteReference w:id="49"/>
      </w:r>
      <w:r>
        <w:rPr>
          <w:rFonts w:ascii="Arial" w:hAnsi="Arial" w:cs="Arial"/>
        </w:rPr>
        <w:t>. Respecto a la infraestructura asociada a la especialidad, las entidades con mayor número de unidades de neonatología disponibles son Veracruz, Chiapas y Oaxaca con 2,681, 2,531 y 2,258, respectivamente; en contraste, Baja California Sur, Colima y Aguascalientes son las de tienen menor número de unidades disponibles</w:t>
      </w:r>
      <w:r>
        <w:rPr>
          <w:rStyle w:val="Refdenotaalpie"/>
          <w:rFonts w:ascii="Arial" w:hAnsi="Arial" w:cs="Arial"/>
        </w:rPr>
        <w:footnoteReference w:id="50"/>
      </w:r>
      <w:r>
        <w:rPr>
          <w:rFonts w:ascii="Arial" w:hAnsi="Arial" w:cs="Arial"/>
        </w:rPr>
        <w:t xml:space="preserve">. En relación a las </w:t>
      </w:r>
      <w:r w:rsidRPr="00E1058D">
        <w:rPr>
          <w:rFonts w:ascii="Arial" w:hAnsi="Arial" w:cs="Arial"/>
        </w:rPr>
        <w:t>cunas para recién nacido</w:t>
      </w:r>
      <w:r>
        <w:rPr>
          <w:rFonts w:ascii="Arial" w:hAnsi="Arial" w:cs="Arial"/>
        </w:rPr>
        <w:t>, Oaxaca es la entidad con mayor número de cunas para recién nacido, ya que dispone de 210.22 por cada 10,000 nacimientos; en orden le siguen Nayarit e Hidalgo con 185.63 y 177.54, respectivamente</w:t>
      </w:r>
      <w:r>
        <w:rPr>
          <w:rStyle w:val="Refdenotaalpie"/>
          <w:rFonts w:ascii="Arial" w:hAnsi="Arial" w:cs="Arial"/>
        </w:rPr>
        <w:footnoteReference w:id="51"/>
      </w:r>
      <w:r>
        <w:rPr>
          <w:rFonts w:ascii="Arial" w:hAnsi="Arial" w:cs="Arial"/>
        </w:rPr>
        <w:t>. Respecto al porcentaje de servicios otorgados, el Estado de México es la entidad con mayor porcentaje de servicios otorgados, ya que representa 14.53% del nacional; le siguen Veracruz y Jalisco con 9.26% y 7.81%; la Ciudad de México aporta 4.81% de los servicios neonatales</w:t>
      </w:r>
      <w:r>
        <w:rPr>
          <w:rStyle w:val="Refdenotaalpie"/>
          <w:rFonts w:ascii="Arial" w:hAnsi="Arial" w:cs="Arial"/>
        </w:rPr>
        <w:footnoteReference w:id="52"/>
      </w:r>
      <w:r>
        <w:rPr>
          <w:rFonts w:ascii="Arial" w:hAnsi="Arial" w:cs="Arial"/>
        </w:rPr>
        <w:t xml:space="preserve">. Finalmente, como indicador sociodemográfico y de demanda potencial de servicios, las entidades con mayores tasas brutas de natalidad son Chiapas, Guerrero y Coahuila con 182.17, 169.85 y </w:t>
      </w:r>
      <w:r w:rsidRPr="00A87044">
        <w:rPr>
          <w:rFonts w:ascii="Arial" w:hAnsi="Arial" w:cs="Arial"/>
        </w:rPr>
        <w:t>181.84</w:t>
      </w:r>
      <w:r>
        <w:rPr>
          <w:rFonts w:ascii="Arial" w:hAnsi="Arial" w:cs="Arial"/>
        </w:rPr>
        <w:t xml:space="preserve"> nacimientos por cada 10,000 habitantes, correspondientemente</w:t>
      </w:r>
      <w:r>
        <w:rPr>
          <w:rStyle w:val="Refdenotaalpie"/>
          <w:rFonts w:ascii="Arial" w:hAnsi="Arial" w:cs="Arial"/>
        </w:rPr>
        <w:footnoteReference w:id="53"/>
      </w:r>
      <w:r>
        <w:rPr>
          <w:rFonts w:ascii="Arial" w:hAnsi="Arial" w:cs="Arial"/>
        </w:rPr>
        <w:t xml:space="preserve">. </w:t>
      </w:r>
    </w:p>
    <w:p w14:paraId="78480197" w14:textId="77777777" w:rsidR="000F6F1D" w:rsidRDefault="000F6F1D" w:rsidP="000F6F1D">
      <w:pPr>
        <w:spacing w:line="360" w:lineRule="auto"/>
        <w:jc w:val="center"/>
        <w:rPr>
          <w:rFonts w:ascii="Arial" w:hAnsi="Arial" w:cs="Arial"/>
          <w:b/>
        </w:rPr>
      </w:pPr>
    </w:p>
    <w:p w14:paraId="7D71FF41" w14:textId="77777777" w:rsidR="000F6F1D" w:rsidRDefault="000F6F1D" w:rsidP="000F6F1D">
      <w:pPr>
        <w:spacing w:line="360" w:lineRule="auto"/>
        <w:jc w:val="center"/>
        <w:rPr>
          <w:rFonts w:ascii="Arial" w:hAnsi="Arial" w:cs="Arial"/>
          <w:b/>
        </w:rPr>
      </w:pPr>
    </w:p>
    <w:p w14:paraId="195A5521" w14:textId="77777777" w:rsidR="000F6F1D" w:rsidRDefault="000F6F1D" w:rsidP="000F6F1D">
      <w:pPr>
        <w:spacing w:line="360" w:lineRule="auto"/>
        <w:rPr>
          <w:rFonts w:ascii="Arial" w:hAnsi="Arial" w:cs="Arial"/>
          <w:b/>
        </w:rPr>
      </w:pPr>
    </w:p>
    <w:p w14:paraId="398097D9" w14:textId="77777777" w:rsidR="000F6F1D" w:rsidRPr="004F18ED" w:rsidRDefault="000F6F1D" w:rsidP="000F6F1D">
      <w:pPr>
        <w:spacing w:line="360" w:lineRule="auto"/>
        <w:jc w:val="center"/>
        <w:rPr>
          <w:rFonts w:ascii="Arial" w:hAnsi="Arial" w:cs="Arial"/>
          <w:b/>
        </w:rPr>
      </w:pPr>
      <w:r w:rsidRPr="004F18ED">
        <w:rPr>
          <w:rFonts w:ascii="Arial" w:hAnsi="Arial" w:cs="Arial"/>
          <w:b/>
        </w:rPr>
        <w:t>Cuadro</w:t>
      </w:r>
      <w:r>
        <w:rPr>
          <w:rFonts w:ascii="Arial" w:hAnsi="Arial" w:cs="Arial"/>
          <w:b/>
        </w:rPr>
        <w:t xml:space="preserve"> 4</w:t>
      </w:r>
      <w:r w:rsidRPr="004F18ED">
        <w:rPr>
          <w:rFonts w:ascii="Arial" w:hAnsi="Arial" w:cs="Arial"/>
          <w:b/>
        </w:rPr>
        <w:t xml:space="preserve">. Indicadores diversos en relación con la especialidad de </w:t>
      </w:r>
      <w:r>
        <w:rPr>
          <w:rFonts w:ascii="Arial" w:hAnsi="Arial" w:cs="Arial"/>
          <w:b/>
        </w:rPr>
        <w:t>Neonatología</w:t>
      </w:r>
      <w:r w:rsidRPr="004F18ED">
        <w:rPr>
          <w:rFonts w:ascii="Arial" w:hAnsi="Arial" w:cs="Arial"/>
          <w:b/>
        </w:rPr>
        <w:t xml:space="preserve"> en el sector público de México, 2016 y 2017.</w:t>
      </w:r>
    </w:p>
    <w:tbl>
      <w:tblPr>
        <w:tblW w:w="7904" w:type="dxa"/>
        <w:jc w:val="center"/>
        <w:tblCellMar>
          <w:left w:w="70" w:type="dxa"/>
          <w:right w:w="70" w:type="dxa"/>
        </w:tblCellMar>
        <w:tblLook w:val="04A0" w:firstRow="1" w:lastRow="0" w:firstColumn="1" w:lastColumn="0" w:noHBand="0" w:noVBand="1"/>
      </w:tblPr>
      <w:tblGrid>
        <w:gridCol w:w="1600"/>
        <w:gridCol w:w="1200"/>
        <w:gridCol w:w="1407"/>
        <w:gridCol w:w="1307"/>
        <w:gridCol w:w="1474"/>
        <w:gridCol w:w="1200"/>
      </w:tblGrid>
      <w:tr w:rsidR="000F6F1D" w:rsidRPr="00412011" w14:paraId="226FD24B" w14:textId="77777777" w:rsidTr="000F6F1D">
        <w:trPr>
          <w:trHeight w:val="1500"/>
          <w:tblHeader/>
          <w:jc w:val="center"/>
        </w:trPr>
        <w:tc>
          <w:tcPr>
            <w:tcW w:w="1600" w:type="dxa"/>
            <w:tcBorders>
              <w:top w:val="single" w:sz="4" w:space="0" w:color="auto"/>
              <w:left w:val="single" w:sz="4" w:space="0" w:color="auto"/>
              <w:bottom w:val="single" w:sz="4" w:space="0" w:color="auto"/>
              <w:right w:val="single" w:sz="4" w:space="0" w:color="auto"/>
            </w:tcBorders>
            <w:shd w:val="clear" w:color="DDEBF7" w:fill="DDEBF7"/>
            <w:vAlign w:val="center"/>
            <w:hideMark/>
          </w:tcPr>
          <w:p w14:paraId="154E36E7" w14:textId="77777777" w:rsidR="000F6F1D" w:rsidRPr="00412011" w:rsidRDefault="000F6F1D" w:rsidP="000F6F1D">
            <w:pPr>
              <w:spacing w:after="0" w:line="240" w:lineRule="auto"/>
              <w:jc w:val="center"/>
              <w:rPr>
                <w:rFonts w:ascii="Arial" w:eastAsia="Times New Roman" w:hAnsi="Arial" w:cs="Arial"/>
                <w:b/>
                <w:bCs/>
                <w:color w:val="000000"/>
                <w:sz w:val="20"/>
                <w:szCs w:val="20"/>
                <w:lang w:eastAsia="es-MX"/>
              </w:rPr>
            </w:pPr>
            <w:r w:rsidRPr="00412011">
              <w:rPr>
                <w:rFonts w:ascii="Arial" w:eastAsia="Times New Roman" w:hAnsi="Arial" w:cs="Arial"/>
                <w:b/>
                <w:bCs/>
                <w:color w:val="000000"/>
                <w:sz w:val="20"/>
                <w:szCs w:val="20"/>
                <w:lang w:eastAsia="es-MX"/>
              </w:rPr>
              <w:t>Entidad</w:t>
            </w:r>
          </w:p>
        </w:tc>
        <w:tc>
          <w:tcPr>
            <w:tcW w:w="1200" w:type="dxa"/>
            <w:tcBorders>
              <w:top w:val="single" w:sz="4" w:space="0" w:color="auto"/>
              <w:left w:val="nil"/>
              <w:bottom w:val="single" w:sz="4" w:space="0" w:color="auto"/>
              <w:right w:val="single" w:sz="4" w:space="0" w:color="auto"/>
            </w:tcBorders>
            <w:shd w:val="clear" w:color="DDEBF7" w:fill="DDEBF7"/>
            <w:vAlign w:val="center"/>
            <w:hideMark/>
          </w:tcPr>
          <w:p w14:paraId="749CF1F0" w14:textId="77777777" w:rsidR="000F6F1D" w:rsidRPr="00412011" w:rsidRDefault="000F6F1D" w:rsidP="000F6F1D">
            <w:pPr>
              <w:spacing w:after="0" w:line="240" w:lineRule="auto"/>
              <w:jc w:val="center"/>
              <w:rPr>
                <w:rFonts w:ascii="Arial" w:eastAsia="Times New Roman" w:hAnsi="Arial" w:cs="Arial"/>
                <w:b/>
                <w:bCs/>
                <w:color w:val="000000"/>
                <w:sz w:val="20"/>
                <w:szCs w:val="20"/>
                <w:lang w:eastAsia="es-MX"/>
              </w:rPr>
            </w:pPr>
            <w:r w:rsidRPr="00412011">
              <w:rPr>
                <w:rFonts w:ascii="Arial" w:eastAsia="Times New Roman" w:hAnsi="Arial" w:cs="Arial"/>
                <w:b/>
                <w:bCs/>
                <w:color w:val="000000"/>
                <w:sz w:val="20"/>
                <w:szCs w:val="20"/>
                <w:lang w:eastAsia="es-MX"/>
              </w:rPr>
              <w:t xml:space="preserve">Porcentaje de servicios otorgados </w:t>
            </w:r>
          </w:p>
        </w:tc>
        <w:tc>
          <w:tcPr>
            <w:tcW w:w="1286" w:type="dxa"/>
            <w:tcBorders>
              <w:top w:val="single" w:sz="4" w:space="0" w:color="auto"/>
              <w:left w:val="nil"/>
              <w:bottom w:val="single" w:sz="4" w:space="0" w:color="auto"/>
              <w:right w:val="single" w:sz="4" w:space="0" w:color="auto"/>
            </w:tcBorders>
            <w:shd w:val="clear" w:color="DDEBF7" w:fill="DDEBF7"/>
            <w:vAlign w:val="center"/>
            <w:hideMark/>
          </w:tcPr>
          <w:p w14:paraId="43FA82F7" w14:textId="77777777" w:rsidR="000F6F1D" w:rsidRPr="00412011" w:rsidRDefault="000F6F1D" w:rsidP="000F6F1D">
            <w:pPr>
              <w:spacing w:after="0" w:line="240" w:lineRule="auto"/>
              <w:jc w:val="center"/>
              <w:rPr>
                <w:rFonts w:ascii="Arial" w:eastAsia="Times New Roman" w:hAnsi="Arial" w:cs="Arial"/>
                <w:b/>
                <w:bCs/>
                <w:color w:val="000000"/>
                <w:sz w:val="20"/>
                <w:szCs w:val="20"/>
                <w:lang w:eastAsia="es-MX"/>
              </w:rPr>
            </w:pPr>
            <w:r w:rsidRPr="00412011">
              <w:rPr>
                <w:rFonts w:ascii="Arial" w:eastAsia="Times New Roman" w:hAnsi="Arial" w:cs="Arial"/>
                <w:b/>
                <w:bCs/>
                <w:color w:val="000000"/>
                <w:sz w:val="20"/>
                <w:szCs w:val="20"/>
                <w:lang w:eastAsia="es-MX"/>
              </w:rPr>
              <w:t xml:space="preserve">Unidades de Neonatología </w:t>
            </w:r>
          </w:p>
        </w:tc>
        <w:tc>
          <w:tcPr>
            <w:tcW w:w="1200" w:type="dxa"/>
            <w:tcBorders>
              <w:top w:val="single" w:sz="4" w:space="0" w:color="auto"/>
              <w:left w:val="nil"/>
              <w:bottom w:val="single" w:sz="4" w:space="0" w:color="auto"/>
              <w:right w:val="single" w:sz="4" w:space="0" w:color="auto"/>
            </w:tcBorders>
            <w:shd w:val="clear" w:color="DDEBF7" w:fill="DDEBF7"/>
            <w:vAlign w:val="center"/>
            <w:hideMark/>
          </w:tcPr>
          <w:p w14:paraId="7C7F2474" w14:textId="77777777" w:rsidR="000F6F1D" w:rsidRPr="00412011" w:rsidRDefault="000F6F1D" w:rsidP="000F6F1D">
            <w:pPr>
              <w:spacing w:after="0" w:line="240" w:lineRule="auto"/>
              <w:jc w:val="center"/>
              <w:rPr>
                <w:rFonts w:ascii="Arial" w:eastAsia="Times New Roman" w:hAnsi="Arial" w:cs="Arial"/>
                <w:b/>
                <w:bCs/>
                <w:color w:val="000000"/>
                <w:sz w:val="20"/>
                <w:szCs w:val="20"/>
                <w:lang w:eastAsia="es-MX"/>
              </w:rPr>
            </w:pPr>
            <w:r w:rsidRPr="00412011">
              <w:rPr>
                <w:rFonts w:ascii="Arial" w:eastAsia="Times New Roman" w:hAnsi="Arial" w:cs="Arial"/>
                <w:b/>
                <w:bCs/>
                <w:color w:val="000000"/>
                <w:sz w:val="20"/>
                <w:szCs w:val="20"/>
                <w:lang w:eastAsia="es-MX"/>
              </w:rPr>
              <w:t xml:space="preserve">Número de cunas para recién nacido por 10,000 nacimientos </w:t>
            </w:r>
          </w:p>
        </w:tc>
        <w:tc>
          <w:tcPr>
            <w:tcW w:w="1418" w:type="dxa"/>
            <w:tcBorders>
              <w:top w:val="single" w:sz="4" w:space="0" w:color="auto"/>
              <w:left w:val="nil"/>
              <w:bottom w:val="single" w:sz="4" w:space="0" w:color="auto"/>
              <w:right w:val="single" w:sz="4" w:space="0" w:color="auto"/>
            </w:tcBorders>
            <w:shd w:val="clear" w:color="DDEBF7" w:fill="DDEBF7"/>
            <w:vAlign w:val="center"/>
            <w:hideMark/>
          </w:tcPr>
          <w:p w14:paraId="34A67778" w14:textId="45A217DD" w:rsidR="000F6F1D" w:rsidRPr="00412011" w:rsidRDefault="00B36DD6" w:rsidP="000F6F1D">
            <w:pPr>
              <w:spacing w:after="0" w:line="240" w:lineRule="auto"/>
              <w:jc w:val="center"/>
              <w:rPr>
                <w:rFonts w:ascii="Arial" w:eastAsia="Times New Roman" w:hAnsi="Arial" w:cs="Arial"/>
                <w:b/>
                <w:bCs/>
                <w:color w:val="000000"/>
                <w:sz w:val="20"/>
                <w:szCs w:val="20"/>
                <w:lang w:eastAsia="es-MX"/>
              </w:rPr>
            </w:pPr>
            <w:r>
              <w:rPr>
                <w:rFonts w:ascii="Arial" w:eastAsia="Times New Roman" w:hAnsi="Arial" w:cs="Arial"/>
                <w:b/>
                <w:bCs/>
                <w:color w:val="000000"/>
                <w:sz w:val="20"/>
                <w:szCs w:val="20"/>
                <w:lang w:eastAsia="es-MX"/>
              </w:rPr>
              <w:t>Número de Neonató</w:t>
            </w:r>
            <w:r w:rsidR="000F6F1D" w:rsidRPr="00412011">
              <w:rPr>
                <w:rFonts w:ascii="Arial" w:eastAsia="Times New Roman" w:hAnsi="Arial" w:cs="Arial"/>
                <w:b/>
                <w:bCs/>
                <w:color w:val="000000"/>
                <w:sz w:val="20"/>
                <w:szCs w:val="20"/>
                <w:lang w:eastAsia="es-MX"/>
              </w:rPr>
              <w:t>logos por 10,000 nacimientos</w:t>
            </w:r>
          </w:p>
          <w:p w14:paraId="7141FDD9" w14:textId="77777777" w:rsidR="000F6F1D" w:rsidRPr="00412011" w:rsidRDefault="000F6F1D" w:rsidP="000F6F1D">
            <w:pPr>
              <w:spacing w:after="0" w:line="240" w:lineRule="auto"/>
              <w:jc w:val="center"/>
              <w:rPr>
                <w:rFonts w:ascii="Arial" w:eastAsia="Times New Roman" w:hAnsi="Arial" w:cs="Arial"/>
                <w:b/>
                <w:bCs/>
                <w:color w:val="000000"/>
                <w:sz w:val="20"/>
                <w:szCs w:val="20"/>
                <w:lang w:eastAsia="es-MX"/>
              </w:rPr>
            </w:pPr>
          </w:p>
        </w:tc>
        <w:tc>
          <w:tcPr>
            <w:tcW w:w="1200" w:type="dxa"/>
            <w:tcBorders>
              <w:top w:val="single" w:sz="4" w:space="0" w:color="auto"/>
              <w:left w:val="nil"/>
              <w:bottom w:val="single" w:sz="4" w:space="0" w:color="auto"/>
              <w:right w:val="single" w:sz="4" w:space="0" w:color="auto"/>
            </w:tcBorders>
            <w:shd w:val="clear" w:color="DDEBF7" w:fill="DDEBF7"/>
            <w:vAlign w:val="center"/>
            <w:hideMark/>
          </w:tcPr>
          <w:p w14:paraId="0BB46413" w14:textId="77777777" w:rsidR="000F6F1D" w:rsidRPr="00412011" w:rsidRDefault="000F6F1D" w:rsidP="000F6F1D">
            <w:pPr>
              <w:spacing w:after="0" w:line="240" w:lineRule="auto"/>
              <w:jc w:val="center"/>
              <w:rPr>
                <w:rFonts w:ascii="Arial" w:eastAsia="Times New Roman" w:hAnsi="Arial" w:cs="Arial"/>
                <w:b/>
                <w:bCs/>
                <w:color w:val="000000"/>
                <w:sz w:val="20"/>
                <w:szCs w:val="20"/>
                <w:lang w:eastAsia="es-MX"/>
              </w:rPr>
            </w:pPr>
            <w:r w:rsidRPr="00412011">
              <w:rPr>
                <w:rFonts w:ascii="Arial" w:eastAsia="Times New Roman" w:hAnsi="Arial" w:cs="Arial"/>
                <w:b/>
                <w:bCs/>
                <w:color w:val="000000"/>
                <w:sz w:val="20"/>
                <w:szCs w:val="20"/>
                <w:lang w:eastAsia="es-MX"/>
              </w:rPr>
              <w:t xml:space="preserve">Tasa Bruta de Natalidad </w:t>
            </w:r>
          </w:p>
        </w:tc>
      </w:tr>
      <w:tr w:rsidR="000F6F1D" w:rsidRPr="00412011" w14:paraId="3B9EF0B6" w14:textId="77777777" w:rsidTr="000F6F1D">
        <w:trPr>
          <w:trHeight w:val="300"/>
          <w:jc w:val="center"/>
        </w:trPr>
        <w:tc>
          <w:tcPr>
            <w:tcW w:w="1600" w:type="dxa"/>
            <w:tcBorders>
              <w:top w:val="nil"/>
              <w:left w:val="single" w:sz="4" w:space="0" w:color="auto"/>
              <w:bottom w:val="single" w:sz="4" w:space="0" w:color="auto"/>
              <w:right w:val="single" w:sz="4" w:space="0" w:color="auto"/>
            </w:tcBorders>
            <w:shd w:val="clear" w:color="auto" w:fill="auto"/>
            <w:noWrap/>
            <w:vAlign w:val="bottom"/>
            <w:hideMark/>
          </w:tcPr>
          <w:p w14:paraId="36E35339" w14:textId="77777777" w:rsidR="000F6F1D" w:rsidRPr="00412011" w:rsidRDefault="000F6F1D" w:rsidP="000F6F1D">
            <w:pPr>
              <w:spacing w:after="0" w:line="240" w:lineRule="auto"/>
              <w:rPr>
                <w:rFonts w:ascii="Arial" w:eastAsia="Times New Roman" w:hAnsi="Arial" w:cs="Arial"/>
                <w:color w:val="000000"/>
                <w:sz w:val="20"/>
                <w:szCs w:val="20"/>
                <w:lang w:eastAsia="es-MX"/>
              </w:rPr>
            </w:pPr>
            <w:r w:rsidRPr="00412011">
              <w:rPr>
                <w:rFonts w:ascii="Arial" w:eastAsia="Times New Roman" w:hAnsi="Arial" w:cs="Arial"/>
                <w:color w:val="000000"/>
                <w:sz w:val="20"/>
                <w:szCs w:val="20"/>
                <w:lang w:eastAsia="es-MX"/>
              </w:rPr>
              <w:t>Aguascalientes</w:t>
            </w:r>
          </w:p>
        </w:tc>
        <w:tc>
          <w:tcPr>
            <w:tcW w:w="1200" w:type="dxa"/>
            <w:tcBorders>
              <w:top w:val="nil"/>
              <w:left w:val="nil"/>
              <w:bottom w:val="single" w:sz="4" w:space="0" w:color="auto"/>
              <w:right w:val="single" w:sz="4" w:space="0" w:color="auto"/>
            </w:tcBorders>
            <w:shd w:val="clear" w:color="auto" w:fill="auto"/>
            <w:noWrap/>
            <w:vAlign w:val="bottom"/>
            <w:hideMark/>
          </w:tcPr>
          <w:p w14:paraId="49FC9297"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1.51%</w:t>
            </w:r>
          </w:p>
        </w:tc>
        <w:tc>
          <w:tcPr>
            <w:tcW w:w="1286" w:type="dxa"/>
            <w:tcBorders>
              <w:top w:val="nil"/>
              <w:left w:val="nil"/>
              <w:bottom w:val="single" w:sz="4" w:space="0" w:color="auto"/>
              <w:right w:val="single" w:sz="4" w:space="0" w:color="auto"/>
            </w:tcBorders>
            <w:shd w:val="clear" w:color="auto" w:fill="auto"/>
            <w:noWrap/>
            <w:vAlign w:val="bottom"/>
            <w:hideMark/>
          </w:tcPr>
          <w:p w14:paraId="79907F5F"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176</w:t>
            </w:r>
          </w:p>
        </w:tc>
        <w:tc>
          <w:tcPr>
            <w:tcW w:w="1200" w:type="dxa"/>
            <w:tcBorders>
              <w:top w:val="nil"/>
              <w:left w:val="nil"/>
              <w:bottom w:val="single" w:sz="4" w:space="0" w:color="auto"/>
              <w:right w:val="single" w:sz="4" w:space="0" w:color="auto"/>
            </w:tcBorders>
            <w:shd w:val="clear" w:color="auto" w:fill="auto"/>
            <w:noWrap/>
            <w:vAlign w:val="bottom"/>
            <w:hideMark/>
          </w:tcPr>
          <w:p w14:paraId="37735B85"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56.66</w:t>
            </w:r>
          </w:p>
        </w:tc>
        <w:tc>
          <w:tcPr>
            <w:tcW w:w="1418" w:type="dxa"/>
            <w:tcBorders>
              <w:top w:val="nil"/>
              <w:left w:val="nil"/>
              <w:bottom w:val="single" w:sz="4" w:space="0" w:color="auto"/>
              <w:right w:val="single" w:sz="4" w:space="0" w:color="auto"/>
            </w:tcBorders>
            <w:shd w:val="clear" w:color="auto" w:fill="auto"/>
            <w:noWrap/>
            <w:vAlign w:val="bottom"/>
            <w:hideMark/>
          </w:tcPr>
          <w:p w14:paraId="5F8AC878"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6.38</w:t>
            </w:r>
          </w:p>
        </w:tc>
        <w:tc>
          <w:tcPr>
            <w:tcW w:w="1200" w:type="dxa"/>
            <w:tcBorders>
              <w:top w:val="nil"/>
              <w:left w:val="nil"/>
              <w:bottom w:val="single" w:sz="4" w:space="0" w:color="auto"/>
              <w:right w:val="single" w:sz="4" w:space="0" w:color="auto"/>
            </w:tcBorders>
            <w:shd w:val="clear" w:color="auto" w:fill="auto"/>
            <w:noWrap/>
            <w:vAlign w:val="bottom"/>
            <w:hideMark/>
          </w:tcPr>
          <w:p w14:paraId="6A39848C" w14:textId="77777777" w:rsidR="000F6F1D" w:rsidRPr="00412011" w:rsidRDefault="000F6F1D" w:rsidP="000F6F1D">
            <w:pPr>
              <w:spacing w:after="0" w:line="240" w:lineRule="auto"/>
              <w:jc w:val="right"/>
              <w:rPr>
                <w:rFonts w:ascii="Arial" w:eastAsia="Times New Roman" w:hAnsi="Arial" w:cs="Arial"/>
                <w:color w:val="000000"/>
                <w:sz w:val="20"/>
                <w:szCs w:val="20"/>
                <w:lang w:eastAsia="es-MX"/>
              </w:rPr>
            </w:pPr>
            <w:r w:rsidRPr="00412011">
              <w:rPr>
                <w:rFonts w:ascii="Arial" w:eastAsia="Times New Roman" w:hAnsi="Arial" w:cs="Arial"/>
                <w:color w:val="000000"/>
                <w:sz w:val="20"/>
                <w:szCs w:val="20"/>
                <w:lang w:eastAsia="es-MX"/>
              </w:rPr>
              <w:t>38.10%</w:t>
            </w:r>
          </w:p>
        </w:tc>
      </w:tr>
      <w:tr w:rsidR="000F6F1D" w:rsidRPr="00412011" w14:paraId="55189607" w14:textId="77777777" w:rsidTr="000F6F1D">
        <w:trPr>
          <w:trHeight w:val="300"/>
          <w:jc w:val="center"/>
        </w:trPr>
        <w:tc>
          <w:tcPr>
            <w:tcW w:w="1600" w:type="dxa"/>
            <w:tcBorders>
              <w:top w:val="nil"/>
              <w:left w:val="single" w:sz="4" w:space="0" w:color="auto"/>
              <w:bottom w:val="single" w:sz="4" w:space="0" w:color="auto"/>
              <w:right w:val="single" w:sz="4" w:space="0" w:color="auto"/>
            </w:tcBorders>
            <w:shd w:val="clear" w:color="auto" w:fill="auto"/>
            <w:noWrap/>
            <w:vAlign w:val="bottom"/>
            <w:hideMark/>
          </w:tcPr>
          <w:p w14:paraId="5B8547A3" w14:textId="77777777" w:rsidR="000F6F1D" w:rsidRPr="00412011" w:rsidRDefault="000F6F1D" w:rsidP="000F6F1D">
            <w:pPr>
              <w:spacing w:after="0" w:line="240" w:lineRule="auto"/>
              <w:rPr>
                <w:rFonts w:ascii="Arial" w:eastAsia="Times New Roman" w:hAnsi="Arial" w:cs="Arial"/>
                <w:color w:val="000000"/>
                <w:sz w:val="20"/>
                <w:szCs w:val="20"/>
                <w:lang w:eastAsia="es-MX"/>
              </w:rPr>
            </w:pPr>
            <w:r w:rsidRPr="00412011">
              <w:rPr>
                <w:rFonts w:ascii="Arial" w:eastAsia="Times New Roman" w:hAnsi="Arial" w:cs="Arial"/>
                <w:color w:val="000000"/>
                <w:sz w:val="20"/>
                <w:szCs w:val="20"/>
                <w:lang w:eastAsia="es-MX"/>
              </w:rPr>
              <w:t>Baja California</w:t>
            </w:r>
          </w:p>
        </w:tc>
        <w:tc>
          <w:tcPr>
            <w:tcW w:w="1200" w:type="dxa"/>
            <w:tcBorders>
              <w:top w:val="nil"/>
              <w:left w:val="nil"/>
              <w:bottom w:val="single" w:sz="4" w:space="0" w:color="auto"/>
              <w:right w:val="single" w:sz="4" w:space="0" w:color="auto"/>
            </w:tcBorders>
            <w:shd w:val="clear" w:color="auto" w:fill="auto"/>
            <w:noWrap/>
            <w:vAlign w:val="bottom"/>
            <w:hideMark/>
          </w:tcPr>
          <w:p w14:paraId="231A2A08"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1.18%</w:t>
            </w:r>
          </w:p>
        </w:tc>
        <w:tc>
          <w:tcPr>
            <w:tcW w:w="1286" w:type="dxa"/>
            <w:tcBorders>
              <w:top w:val="nil"/>
              <w:left w:val="nil"/>
              <w:bottom w:val="single" w:sz="4" w:space="0" w:color="auto"/>
              <w:right w:val="single" w:sz="4" w:space="0" w:color="auto"/>
            </w:tcBorders>
            <w:shd w:val="clear" w:color="auto" w:fill="auto"/>
            <w:noWrap/>
            <w:vAlign w:val="bottom"/>
            <w:hideMark/>
          </w:tcPr>
          <w:p w14:paraId="3DCB4B60"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376</w:t>
            </w:r>
          </w:p>
        </w:tc>
        <w:tc>
          <w:tcPr>
            <w:tcW w:w="1200" w:type="dxa"/>
            <w:tcBorders>
              <w:top w:val="nil"/>
              <w:left w:val="nil"/>
              <w:bottom w:val="single" w:sz="4" w:space="0" w:color="auto"/>
              <w:right w:val="single" w:sz="4" w:space="0" w:color="auto"/>
            </w:tcBorders>
            <w:shd w:val="clear" w:color="auto" w:fill="auto"/>
            <w:noWrap/>
            <w:vAlign w:val="bottom"/>
            <w:hideMark/>
          </w:tcPr>
          <w:p w14:paraId="3B176CE1"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50.83</w:t>
            </w:r>
          </w:p>
        </w:tc>
        <w:tc>
          <w:tcPr>
            <w:tcW w:w="1418" w:type="dxa"/>
            <w:tcBorders>
              <w:top w:val="nil"/>
              <w:left w:val="nil"/>
              <w:bottom w:val="single" w:sz="4" w:space="0" w:color="auto"/>
              <w:right w:val="single" w:sz="4" w:space="0" w:color="auto"/>
            </w:tcBorders>
            <w:shd w:val="clear" w:color="auto" w:fill="auto"/>
            <w:noWrap/>
            <w:vAlign w:val="bottom"/>
            <w:hideMark/>
          </w:tcPr>
          <w:p w14:paraId="0CB8C6C3"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4.25</w:t>
            </w:r>
          </w:p>
        </w:tc>
        <w:tc>
          <w:tcPr>
            <w:tcW w:w="1200" w:type="dxa"/>
            <w:tcBorders>
              <w:top w:val="nil"/>
              <w:left w:val="nil"/>
              <w:bottom w:val="single" w:sz="4" w:space="0" w:color="auto"/>
              <w:right w:val="single" w:sz="4" w:space="0" w:color="auto"/>
            </w:tcBorders>
            <w:shd w:val="clear" w:color="auto" w:fill="auto"/>
            <w:noWrap/>
            <w:vAlign w:val="bottom"/>
            <w:hideMark/>
          </w:tcPr>
          <w:p w14:paraId="27ADE435" w14:textId="77777777" w:rsidR="000F6F1D" w:rsidRPr="00412011" w:rsidRDefault="000F6F1D" w:rsidP="000F6F1D">
            <w:pPr>
              <w:spacing w:after="0" w:line="240" w:lineRule="auto"/>
              <w:jc w:val="right"/>
              <w:rPr>
                <w:rFonts w:ascii="Arial" w:eastAsia="Times New Roman" w:hAnsi="Arial" w:cs="Arial"/>
                <w:color w:val="000000"/>
                <w:sz w:val="20"/>
                <w:szCs w:val="20"/>
                <w:lang w:eastAsia="es-MX"/>
              </w:rPr>
            </w:pPr>
            <w:r w:rsidRPr="00412011">
              <w:rPr>
                <w:rFonts w:ascii="Arial" w:eastAsia="Times New Roman" w:hAnsi="Arial" w:cs="Arial"/>
                <w:color w:val="000000"/>
                <w:sz w:val="20"/>
                <w:szCs w:val="20"/>
                <w:lang w:eastAsia="es-MX"/>
              </w:rPr>
              <w:t>35.06%</w:t>
            </w:r>
          </w:p>
        </w:tc>
      </w:tr>
      <w:tr w:rsidR="000F6F1D" w:rsidRPr="00412011" w14:paraId="3431BA76" w14:textId="77777777" w:rsidTr="000F6F1D">
        <w:trPr>
          <w:trHeight w:val="300"/>
          <w:jc w:val="center"/>
        </w:trPr>
        <w:tc>
          <w:tcPr>
            <w:tcW w:w="1600" w:type="dxa"/>
            <w:tcBorders>
              <w:top w:val="nil"/>
              <w:left w:val="single" w:sz="4" w:space="0" w:color="auto"/>
              <w:bottom w:val="single" w:sz="4" w:space="0" w:color="auto"/>
              <w:right w:val="single" w:sz="4" w:space="0" w:color="auto"/>
            </w:tcBorders>
            <w:shd w:val="clear" w:color="auto" w:fill="auto"/>
            <w:noWrap/>
            <w:vAlign w:val="bottom"/>
            <w:hideMark/>
          </w:tcPr>
          <w:p w14:paraId="2B405D0A" w14:textId="77777777" w:rsidR="000F6F1D" w:rsidRPr="00412011" w:rsidRDefault="000F6F1D" w:rsidP="000F6F1D">
            <w:pPr>
              <w:spacing w:after="0" w:line="240" w:lineRule="auto"/>
              <w:rPr>
                <w:rFonts w:ascii="Arial" w:eastAsia="Times New Roman" w:hAnsi="Arial" w:cs="Arial"/>
                <w:color w:val="000000"/>
                <w:sz w:val="20"/>
                <w:szCs w:val="20"/>
                <w:lang w:eastAsia="es-MX"/>
              </w:rPr>
            </w:pPr>
            <w:r w:rsidRPr="00412011">
              <w:rPr>
                <w:rFonts w:ascii="Arial" w:eastAsia="Times New Roman" w:hAnsi="Arial" w:cs="Arial"/>
                <w:color w:val="000000"/>
                <w:sz w:val="20"/>
                <w:szCs w:val="20"/>
                <w:lang w:eastAsia="es-MX"/>
              </w:rPr>
              <w:t>Baja California Sur</w:t>
            </w:r>
          </w:p>
        </w:tc>
        <w:tc>
          <w:tcPr>
            <w:tcW w:w="1200" w:type="dxa"/>
            <w:tcBorders>
              <w:top w:val="nil"/>
              <w:left w:val="nil"/>
              <w:bottom w:val="single" w:sz="4" w:space="0" w:color="auto"/>
              <w:right w:val="single" w:sz="4" w:space="0" w:color="auto"/>
            </w:tcBorders>
            <w:shd w:val="clear" w:color="auto" w:fill="auto"/>
            <w:noWrap/>
            <w:vAlign w:val="bottom"/>
            <w:hideMark/>
          </w:tcPr>
          <w:p w14:paraId="5F3E21F2"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0.37%</w:t>
            </w:r>
          </w:p>
        </w:tc>
        <w:tc>
          <w:tcPr>
            <w:tcW w:w="1286" w:type="dxa"/>
            <w:tcBorders>
              <w:top w:val="nil"/>
              <w:left w:val="nil"/>
              <w:bottom w:val="single" w:sz="4" w:space="0" w:color="auto"/>
              <w:right w:val="single" w:sz="4" w:space="0" w:color="auto"/>
            </w:tcBorders>
            <w:shd w:val="clear" w:color="auto" w:fill="auto"/>
            <w:noWrap/>
            <w:vAlign w:val="bottom"/>
            <w:hideMark/>
          </w:tcPr>
          <w:p w14:paraId="6DA92E88"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211</w:t>
            </w:r>
          </w:p>
        </w:tc>
        <w:tc>
          <w:tcPr>
            <w:tcW w:w="1200" w:type="dxa"/>
            <w:tcBorders>
              <w:top w:val="nil"/>
              <w:left w:val="nil"/>
              <w:bottom w:val="single" w:sz="4" w:space="0" w:color="auto"/>
              <w:right w:val="single" w:sz="4" w:space="0" w:color="auto"/>
            </w:tcBorders>
            <w:shd w:val="clear" w:color="auto" w:fill="auto"/>
            <w:noWrap/>
            <w:vAlign w:val="bottom"/>
            <w:hideMark/>
          </w:tcPr>
          <w:p w14:paraId="0E6B0DA5"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110.09</w:t>
            </w:r>
          </w:p>
        </w:tc>
        <w:tc>
          <w:tcPr>
            <w:tcW w:w="1418" w:type="dxa"/>
            <w:tcBorders>
              <w:top w:val="nil"/>
              <w:left w:val="nil"/>
              <w:bottom w:val="single" w:sz="4" w:space="0" w:color="auto"/>
              <w:right w:val="single" w:sz="4" w:space="0" w:color="auto"/>
            </w:tcBorders>
            <w:shd w:val="clear" w:color="auto" w:fill="auto"/>
            <w:noWrap/>
            <w:vAlign w:val="bottom"/>
            <w:hideMark/>
          </w:tcPr>
          <w:p w14:paraId="3BF73EB2"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7.29</w:t>
            </w:r>
          </w:p>
        </w:tc>
        <w:tc>
          <w:tcPr>
            <w:tcW w:w="1200" w:type="dxa"/>
            <w:tcBorders>
              <w:top w:val="nil"/>
              <w:left w:val="nil"/>
              <w:bottom w:val="single" w:sz="4" w:space="0" w:color="auto"/>
              <w:right w:val="single" w:sz="4" w:space="0" w:color="auto"/>
            </w:tcBorders>
            <w:shd w:val="clear" w:color="auto" w:fill="auto"/>
            <w:noWrap/>
            <w:vAlign w:val="bottom"/>
            <w:hideMark/>
          </w:tcPr>
          <w:p w14:paraId="172CFEA5" w14:textId="77777777" w:rsidR="000F6F1D" w:rsidRPr="00412011" w:rsidRDefault="000F6F1D" w:rsidP="000F6F1D">
            <w:pPr>
              <w:spacing w:after="0" w:line="240" w:lineRule="auto"/>
              <w:jc w:val="right"/>
              <w:rPr>
                <w:rFonts w:ascii="Arial" w:eastAsia="Times New Roman" w:hAnsi="Arial" w:cs="Arial"/>
                <w:color w:val="000000"/>
                <w:sz w:val="20"/>
                <w:szCs w:val="20"/>
                <w:lang w:eastAsia="es-MX"/>
              </w:rPr>
            </w:pPr>
            <w:r w:rsidRPr="00412011">
              <w:rPr>
                <w:rFonts w:ascii="Arial" w:eastAsia="Times New Roman" w:hAnsi="Arial" w:cs="Arial"/>
                <w:color w:val="000000"/>
                <w:sz w:val="20"/>
                <w:szCs w:val="20"/>
                <w:lang w:eastAsia="es-MX"/>
              </w:rPr>
              <w:t>35.12%</w:t>
            </w:r>
          </w:p>
        </w:tc>
      </w:tr>
      <w:tr w:rsidR="000F6F1D" w:rsidRPr="00412011" w14:paraId="6A909086" w14:textId="77777777" w:rsidTr="000F6F1D">
        <w:trPr>
          <w:trHeight w:val="300"/>
          <w:jc w:val="center"/>
        </w:trPr>
        <w:tc>
          <w:tcPr>
            <w:tcW w:w="1600" w:type="dxa"/>
            <w:tcBorders>
              <w:top w:val="nil"/>
              <w:left w:val="single" w:sz="4" w:space="0" w:color="auto"/>
              <w:bottom w:val="single" w:sz="4" w:space="0" w:color="auto"/>
              <w:right w:val="single" w:sz="4" w:space="0" w:color="auto"/>
            </w:tcBorders>
            <w:shd w:val="clear" w:color="auto" w:fill="auto"/>
            <w:noWrap/>
            <w:vAlign w:val="bottom"/>
            <w:hideMark/>
          </w:tcPr>
          <w:p w14:paraId="72CB1562" w14:textId="77777777" w:rsidR="000F6F1D" w:rsidRPr="00412011" w:rsidRDefault="000F6F1D" w:rsidP="000F6F1D">
            <w:pPr>
              <w:spacing w:after="0" w:line="240" w:lineRule="auto"/>
              <w:rPr>
                <w:rFonts w:ascii="Arial" w:eastAsia="Times New Roman" w:hAnsi="Arial" w:cs="Arial"/>
                <w:color w:val="000000"/>
                <w:sz w:val="20"/>
                <w:szCs w:val="20"/>
                <w:lang w:eastAsia="es-MX"/>
              </w:rPr>
            </w:pPr>
            <w:r w:rsidRPr="00412011">
              <w:rPr>
                <w:rFonts w:ascii="Arial" w:eastAsia="Times New Roman" w:hAnsi="Arial" w:cs="Arial"/>
                <w:color w:val="000000"/>
                <w:sz w:val="20"/>
                <w:szCs w:val="20"/>
                <w:lang w:eastAsia="es-MX"/>
              </w:rPr>
              <w:t>Campeche</w:t>
            </w:r>
          </w:p>
        </w:tc>
        <w:tc>
          <w:tcPr>
            <w:tcW w:w="1200" w:type="dxa"/>
            <w:tcBorders>
              <w:top w:val="nil"/>
              <w:left w:val="nil"/>
              <w:bottom w:val="single" w:sz="4" w:space="0" w:color="auto"/>
              <w:right w:val="single" w:sz="4" w:space="0" w:color="auto"/>
            </w:tcBorders>
            <w:shd w:val="clear" w:color="auto" w:fill="auto"/>
            <w:noWrap/>
            <w:vAlign w:val="bottom"/>
            <w:hideMark/>
          </w:tcPr>
          <w:p w14:paraId="74004C9B"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0.78%</w:t>
            </w:r>
          </w:p>
        </w:tc>
        <w:tc>
          <w:tcPr>
            <w:tcW w:w="1286" w:type="dxa"/>
            <w:tcBorders>
              <w:top w:val="nil"/>
              <w:left w:val="nil"/>
              <w:bottom w:val="single" w:sz="4" w:space="0" w:color="auto"/>
              <w:right w:val="single" w:sz="4" w:space="0" w:color="auto"/>
            </w:tcBorders>
            <w:shd w:val="clear" w:color="auto" w:fill="auto"/>
            <w:noWrap/>
            <w:vAlign w:val="bottom"/>
            <w:hideMark/>
          </w:tcPr>
          <w:p w14:paraId="4A87C7D3"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313</w:t>
            </w:r>
          </w:p>
        </w:tc>
        <w:tc>
          <w:tcPr>
            <w:tcW w:w="1200" w:type="dxa"/>
            <w:tcBorders>
              <w:top w:val="nil"/>
              <w:left w:val="nil"/>
              <w:bottom w:val="single" w:sz="4" w:space="0" w:color="auto"/>
              <w:right w:val="single" w:sz="4" w:space="0" w:color="auto"/>
            </w:tcBorders>
            <w:shd w:val="clear" w:color="auto" w:fill="auto"/>
            <w:noWrap/>
            <w:vAlign w:val="bottom"/>
            <w:hideMark/>
          </w:tcPr>
          <w:p w14:paraId="5609CAAF"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133.93</w:t>
            </w:r>
          </w:p>
        </w:tc>
        <w:tc>
          <w:tcPr>
            <w:tcW w:w="1418" w:type="dxa"/>
            <w:tcBorders>
              <w:top w:val="nil"/>
              <w:left w:val="nil"/>
              <w:bottom w:val="single" w:sz="4" w:space="0" w:color="auto"/>
              <w:right w:val="single" w:sz="4" w:space="0" w:color="auto"/>
            </w:tcBorders>
            <w:shd w:val="clear" w:color="auto" w:fill="auto"/>
            <w:noWrap/>
            <w:vAlign w:val="bottom"/>
            <w:hideMark/>
          </w:tcPr>
          <w:p w14:paraId="50B17E08"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1.12</w:t>
            </w:r>
          </w:p>
        </w:tc>
        <w:tc>
          <w:tcPr>
            <w:tcW w:w="1200" w:type="dxa"/>
            <w:tcBorders>
              <w:top w:val="nil"/>
              <w:left w:val="nil"/>
              <w:bottom w:val="single" w:sz="4" w:space="0" w:color="auto"/>
              <w:right w:val="single" w:sz="4" w:space="0" w:color="auto"/>
            </w:tcBorders>
            <w:shd w:val="clear" w:color="auto" w:fill="auto"/>
            <w:noWrap/>
            <w:vAlign w:val="bottom"/>
            <w:hideMark/>
          </w:tcPr>
          <w:p w14:paraId="443CC64F" w14:textId="77777777" w:rsidR="000F6F1D" w:rsidRPr="00412011" w:rsidRDefault="000F6F1D" w:rsidP="000F6F1D">
            <w:pPr>
              <w:spacing w:after="0" w:line="240" w:lineRule="auto"/>
              <w:jc w:val="right"/>
              <w:rPr>
                <w:rFonts w:ascii="Arial" w:eastAsia="Times New Roman" w:hAnsi="Arial" w:cs="Arial"/>
                <w:color w:val="000000"/>
                <w:sz w:val="20"/>
                <w:szCs w:val="20"/>
                <w:lang w:eastAsia="es-MX"/>
              </w:rPr>
            </w:pPr>
            <w:r w:rsidRPr="00412011">
              <w:rPr>
                <w:rFonts w:ascii="Arial" w:eastAsia="Times New Roman" w:hAnsi="Arial" w:cs="Arial"/>
                <w:color w:val="000000"/>
                <w:sz w:val="20"/>
                <w:szCs w:val="20"/>
                <w:lang w:eastAsia="es-MX"/>
              </w:rPr>
              <w:t>36.17%</w:t>
            </w:r>
          </w:p>
        </w:tc>
      </w:tr>
      <w:tr w:rsidR="000F6F1D" w:rsidRPr="00412011" w14:paraId="434953FA" w14:textId="77777777" w:rsidTr="000F6F1D">
        <w:trPr>
          <w:trHeight w:val="300"/>
          <w:jc w:val="center"/>
        </w:trPr>
        <w:tc>
          <w:tcPr>
            <w:tcW w:w="1600" w:type="dxa"/>
            <w:tcBorders>
              <w:top w:val="nil"/>
              <w:left w:val="single" w:sz="4" w:space="0" w:color="auto"/>
              <w:bottom w:val="single" w:sz="4" w:space="0" w:color="auto"/>
              <w:right w:val="single" w:sz="4" w:space="0" w:color="auto"/>
            </w:tcBorders>
            <w:shd w:val="clear" w:color="auto" w:fill="auto"/>
            <w:noWrap/>
            <w:vAlign w:val="bottom"/>
            <w:hideMark/>
          </w:tcPr>
          <w:p w14:paraId="47055DFD" w14:textId="77777777" w:rsidR="000F6F1D" w:rsidRPr="00412011" w:rsidRDefault="000F6F1D" w:rsidP="000F6F1D">
            <w:pPr>
              <w:spacing w:after="0" w:line="240" w:lineRule="auto"/>
              <w:rPr>
                <w:rFonts w:ascii="Arial" w:eastAsia="Times New Roman" w:hAnsi="Arial" w:cs="Arial"/>
                <w:color w:val="000000"/>
                <w:sz w:val="20"/>
                <w:szCs w:val="20"/>
                <w:lang w:eastAsia="es-MX"/>
              </w:rPr>
            </w:pPr>
            <w:r w:rsidRPr="00412011">
              <w:rPr>
                <w:rFonts w:ascii="Arial" w:eastAsia="Times New Roman" w:hAnsi="Arial" w:cs="Arial"/>
                <w:color w:val="000000"/>
                <w:sz w:val="20"/>
                <w:szCs w:val="20"/>
                <w:lang w:eastAsia="es-MX"/>
              </w:rPr>
              <w:t>Chiapas</w:t>
            </w:r>
          </w:p>
        </w:tc>
        <w:tc>
          <w:tcPr>
            <w:tcW w:w="1200" w:type="dxa"/>
            <w:tcBorders>
              <w:top w:val="nil"/>
              <w:left w:val="nil"/>
              <w:bottom w:val="single" w:sz="4" w:space="0" w:color="auto"/>
              <w:right w:val="single" w:sz="4" w:space="0" w:color="auto"/>
            </w:tcBorders>
            <w:shd w:val="clear" w:color="auto" w:fill="auto"/>
            <w:noWrap/>
            <w:vAlign w:val="bottom"/>
            <w:hideMark/>
          </w:tcPr>
          <w:p w14:paraId="33F38FAC"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0.70%</w:t>
            </w:r>
          </w:p>
        </w:tc>
        <w:tc>
          <w:tcPr>
            <w:tcW w:w="1286" w:type="dxa"/>
            <w:tcBorders>
              <w:top w:val="nil"/>
              <w:left w:val="nil"/>
              <w:bottom w:val="single" w:sz="4" w:space="0" w:color="auto"/>
              <w:right w:val="single" w:sz="4" w:space="0" w:color="auto"/>
            </w:tcBorders>
            <w:shd w:val="clear" w:color="auto" w:fill="auto"/>
            <w:noWrap/>
            <w:vAlign w:val="bottom"/>
            <w:hideMark/>
          </w:tcPr>
          <w:p w14:paraId="21DB8E61"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2531</w:t>
            </w:r>
          </w:p>
        </w:tc>
        <w:tc>
          <w:tcPr>
            <w:tcW w:w="1200" w:type="dxa"/>
            <w:tcBorders>
              <w:top w:val="nil"/>
              <w:left w:val="nil"/>
              <w:bottom w:val="single" w:sz="4" w:space="0" w:color="auto"/>
              <w:right w:val="single" w:sz="4" w:space="0" w:color="auto"/>
            </w:tcBorders>
            <w:shd w:val="clear" w:color="auto" w:fill="auto"/>
            <w:noWrap/>
            <w:vAlign w:val="bottom"/>
            <w:hideMark/>
          </w:tcPr>
          <w:p w14:paraId="7EF1F15B"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137.63</w:t>
            </w:r>
          </w:p>
        </w:tc>
        <w:tc>
          <w:tcPr>
            <w:tcW w:w="1418" w:type="dxa"/>
            <w:tcBorders>
              <w:top w:val="nil"/>
              <w:left w:val="nil"/>
              <w:bottom w:val="single" w:sz="4" w:space="0" w:color="auto"/>
              <w:right w:val="single" w:sz="4" w:space="0" w:color="auto"/>
            </w:tcBorders>
            <w:shd w:val="clear" w:color="auto" w:fill="auto"/>
            <w:noWrap/>
            <w:vAlign w:val="bottom"/>
            <w:hideMark/>
          </w:tcPr>
          <w:p w14:paraId="22C53343"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1.24</w:t>
            </w:r>
          </w:p>
        </w:tc>
        <w:tc>
          <w:tcPr>
            <w:tcW w:w="1200" w:type="dxa"/>
            <w:tcBorders>
              <w:top w:val="nil"/>
              <w:left w:val="nil"/>
              <w:bottom w:val="single" w:sz="4" w:space="0" w:color="auto"/>
              <w:right w:val="single" w:sz="4" w:space="0" w:color="auto"/>
            </w:tcBorders>
            <w:shd w:val="clear" w:color="auto" w:fill="auto"/>
            <w:noWrap/>
            <w:vAlign w:val="bottom"/>
            <w:hideMark/>
          </w:tcPr>
          <w:p w14:paraId="024C46EB" w14:textId="77777777" w:rsidR="000F6F1D" w:rsidRPr="00412011" w:rsidRDefault="000F6F1D" w:rsidP="000F6F1D">
            <w:pPr>
              <w:spacing w:after="0" w:line="240" w:lineRule="auto"/>
              <w:jc w:val="right"/>
              <w:rPr>
                <w:rFonts w:ascii="Arial" w:eastAsia="Times New Roman" w:hAnsi="Arial" w:cs="Arial"/>
                <w:color w:val="000000"/>
                <w:sz w:val="20"/>
                <w:szCs w:val="20"/>
                <w:lang w:eastAsia="es-MX"/>
              </w:rPr>
            </w:pPr>
            <w:r w:rsidRPr="00412011">
              <w:rPr>
                <w:rFonts w:ascii="Arial" w:eastAsia="Times New Roman" w:hAnsi="Arial" w:cs="Arial"/>
                <w:color w:val="000000"/>
                <w:sz w:val="20"/>
                <w:szCs w:val="20"/>
                <w:lang w:eastAsia="es-MX"/>
              </w:rPr>
              <w:t>42.85%</w:t>
            </w:r>
          </w:p>
        </w:tc>
      </w:tr>
      <w:tr w:rsidR="000F6F1D" w:rsidRPr="00412011" w14:paraId="7927A559" w14:textId="77777777" w:rsidTr="000F6F1D">
        <w:trPr>
          <w:trHeight w:val="300"/>
          <w:jc w:val="center"/>
        </w:trPr>
        <w:tc>
          <w:tcPr>
            <w:tcW w:w="1600" w:type="dxa"/>
            <w:tcBorders>
              <w:top w:val="nil"/>
              <w:left w:val="single" w:sz="4" w:space="0" w:color="auto"/>
              <w:bottom w:val="single" w:sz="4" w:space="0" w:color="auto"/>
              <w:right w:val="single" w:sz="4" w:space="0" w:color="auto"/>
            </w:tcBorders>
            <w:shd w:val="clear" w:color="auto" w:fill="auto"/>
            <w:noWrap/>
            <w:vAlign w:val="bottom"/>
            <w:hideMark/>
          </w:tcPr>
          <w:p w14:paraId="6F2776E9" w14:textId="77777777" w:rsidR="000F6F1D" w:rsidRPr="00412011" w:rsidRDefault="000F6F1D" w:rsidP="000F6F1D">
            <w:pPr>
              <w:spacing w:after="0" w:line="240" w:lineRule="auto"/>
              <w:rPr>
                <w:rFonts w:ascii="Arial" w:eastAsia="Times New Roman" w:hAnsi="Arial" w:cs="Arial"/>
                <w:color w:val="000000"/>
                <w:sz w:val="20"/>
                <w:szCs w:val="20"/>
                <w:lang w:eastAsia="es-MX"/>
              </w:rPr>
            </w:pPr>
            <w:r w:rsidRPr="00412011">
              <w:rPr>
                <w:rFonts w:ascii="Arial" w:eastAsia="Times New Roman" w:hAnsi="Arial" w:cs="Arial"/>
                <w:color w:val="000000"/>
                <w:sz w:val="20"/>
                <w:szCs w:val="20"/>
                <w:lang w:eastAsia="es-MX"/>
              </w:rPr>
              <w:t>Chihuahua</w:t>
            </w:r>
          </w:p>
        </w:tc>
        <w:tc>
          <w:tcPr>
            <w:tcW w:w="1200" w:type="dxa"/>
            <w:tcBorders>
              <w:top w:val="nil"/>
              <w:left w:val="nil"/>
              <w:bottom w:val="single" w:sz="4" w:space="0" w:color="auto"/>
              <w:right w:val="single" w:sz="4" w:space="0" w:color="auto"/>
            </w:tcBorders>
            <w:shd w:val="clear" w:color="auto" w:fill="auto"/>
            <w:noWrap/>
            <w:vAlign w:val="bottom"/>
            <w:hideMark/>
          </w:tcPr>
          <w:p w14:paraId="5809B85D"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0.98%</w:t>
            </w:r>
          </w:p>
        </w:tc>
        <w:tc>
          <w:tcPr>
            <w:tcW w:w="1286" w:type="dxa"/>
            <w:tcBorders>
              <w:top w:val="nil"/>
              <w:left w:val="nil"/>
              <w:bottom w:val="single" w:sz="4" w:space="0" w:color="auto"/>
              <w:right w:val="single" w:sz="4" w:space="0" w:color="auto"/>
            </w:tcBorders>
            <w:shd w:val="clear" w:color="auto" w:fill="auto"/>
            <w:noWrap/>
            <w:vAlign w:val="bottom"/>
            <w:hideMark/>
          </w:tcPr>
          <w:p w14:paraId="07F29B09"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867</w:t>
            </w:r>
          </w:p>
        </w:tc>
        <w:tc>
          <w:tcPr>
            <w:tcW w:w="1200" w:type="dxa"/>
            <w:tcBorders>
              <w:top w:val="nil"/>
              <w:left w:val="nil"/>
              <w:bottom w:val="single" w:sz="4" w:space="0" w:color="auto"/>
              <w:right w:val="single" w:sz="4" w:space="0" w:color="auto"/>
            </w:tcBorders>
            <w:shd w:val="clear" w:color="auto" w:fill="auto"/>
            <w:noWrap/>
            <w:vAlign w:val="bottom"/>
            <w:hideMark/>
          </w:tcPr>
          <w:p w14:paraId="0132542F"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88.49</w:t>
            </w:r>
          </w:p>
        </w:tc>
        <w:tc>
          <w:tcPr>
            <w:tcW w:w="1418" w:type="dxa"/>
            <w:tcBorders>
              <w:top w:val="nil"/>
              <w:left w:val="nil"/>
              <w:bottom w:val="single" w:sz="4" w:space="0" w:color="auto"/>
              <w:right w:val="single" w:sz="4" w:space="0" w:color="auto"/>
            </w:tcBorders>
            <w:shd w:val="clear" w:color="auto" w:fill="auto"/>
            <w:noWrap/>
            <w:vAlign w:val="bottom"/>
            <w:hideMark/>
          </w:tcPr>
          <w:p w14:paraId="02D42D20"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3.39</w:t>
            </w:r>
          </w:p>
        </w:tc>
        <w:tc>
          <w:tcPr>
            <w:tcW w:w="1200" w:type="dxa"/>
            <w:tcBorders>
              <w:top w:val="nil"/>
              <w:left w:val="nil"/>
              <w:bottom w:val="single" w:sz="4" w:space="0" w:color="auto"/>
              <w:right w:val="single" w:sz="4" w:space="0" w:color="auto"/>
            </w:tcBorders>
            <w:shd w:val="clear" w:color="auto" w:fill="auto"/>
            <w:noWrap/>
            <w:vAlign w:val="bottom"/>
            <w:hideMark/>
          </w:tcPr>
          <w:p w14:paraId="20D3D1E3" w14:textId="77777777" w:rsidR="000F6F1D" w:rsidRPr="00412011" w:rsidRDefault="000F6F1D" w:rsidP="000F6F1D">
            <w:pPr>
              <w:spacing w:after="0" w:line="240" w:lineRule="auto"/>
              <w:jc w:val="right"/>
              <w:rPr>
                <w:rFonts w:ascii="Arial" w:eastAsia="Times New Roman" w:hAnsi="Arial" w:cs="Arial"/>
                <w:color w:val="000000"/>
                <w:sz w:val="20"/>
                <w:szCs w:val="20"/>
                <w:lang w:eastAsia="es-MX"/>
              </w:rPr>
            </w:pPr>
            <w:r w:rsidRPr="00412011">
              <w:rPr>
                <w:rFonts w:ascii="Arial" w:eastAsia="Times New Roman" w:hAnsi="Arial" w:cs="Arial"/>
                <w:color w:val="000000"/>
                <w:sz w:val="20"/>
                <w:szCs w:val="20"/>
                <w:lang w:eastAsia="es-MX"/>
              </w:rPr>
              <w:t>36.19%</w:t>
            </w:r>
          </w:p>
        </w:tc>
      </w:tr>
      <w:tr w:rsidR="000F6F1D" w:rsidRPr="00412011" w14:paraId="3FC03AAE" w14:textId="77777777" w:rsidTr="000F6F1D">
        <w:trPr>
          <w:trHeight w:val="300"/>
          <w:jc w:val="center"/>
        </w:trPr>
        <w:tc>
          <w:tcPr>
            <w:tcW w:w="1600" w:type="dxa"/>
            <w:tcBorders>
              <w:top w:val="nil"/>
              <w:left w:val="single" w:sz="4" w:space="0" w:color="auto"/>
              <w:bottom w:val="single" w:sz="4" w:space="0" w:color="auto"/>
              <w:right w:val="single" w:sz="4" w:space="0" w:color="auto"/>
            </w:tcBorders>
            <w:shd w:val="clear" w:color="auto" w:fill="auto"/>
            <w:noWrap/>
            <w:vAlign w:val="bottom"/>
            <w:hideMark/>
          </w:tcPr>
          <w:p w14:paraId="00FF3B83" w14:textId="77777777" w:rsidR="000F6F1D" w:rsidRPr="00412011" w:rsidRDefault="000F6F1D" w:rsidP="000F6F1D">
            <w:pPr>
              <w:spacing w:after="0" w:line="240" w:lineRule="auto"/>
              <w:rPr>
                <w:rFonts w:ascii="Arial" w:eastAsia="Times New Roman" w:hAnsi="Arial" w:cs="Arial"/>
                <w:color w:val="000000"/>
                <w:sz w:val="20"/>
                <w:szCs w:val="20"/>
                <w:lang w:eastAsia="es-MX"/>
              </w:rPr>
            </w:pPr>
            <w:r w:rsidRPr="00412011">
              <w:rPr>
                <w:rFonts w:ascii="Arial" w:eastAsia="Times New Roman" w:hAnsi="Arial" w:cs="Arial"/>
                <w:color w:val="000000"/>
                <w:sz w:val="20"/>
                <w:szCs w:val="20"/>
                <w:lang w:eastAsia="es-MX"/>
              </w:rPr>
              <w:t>CDMX</w:t>
            </w:r>
          </w:p>
        </w:tc>
        <w:tc>
          <w:tcPr>
            <w:tcW w:w="1200" w:type="dxa"/>
            <w:tcBorders>
              <w:top w:val="nil"/>
              <w:left w:val="nil"/>
              <w:bottom w:val="single" w:sz="4" w:space="0" w:color="auto"/>
              <w:right w:val="single" w:sz="4" w:space="0" w:color="auto"/>
            </w:tcBorders>
            <w:shd w:val="clear" w:color="auto" w:fill="auto"/>
            <w:noWrap/>
            <w:vAlign w:val="bottom"/>
            <w:hideMark/>
          </w:tcPr>
          <w:p w14:paraId="5A9AC94F"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4.81%</w:t>
            </w:r>
          </w:p>
        </w:tc>
        <w:tc>
          <w:tcPr>
            <w:tcW w:w="1286" w:type="dxa"/>
            <w:tcBorders>
              <w:top w:val="nil"/>
              <w:left w:val="nil"/>
              <w:bottom w:val="single" w:sz="4" w:space="0" w:color="auto"/>
              <w:right w:val="single" w:sz="4" w:space="0" w:color="auto"/>
            </w:tcBorders>
            <w:shd w:val="clear" w:color="auto" w:fill="auto"/>
            <w:noWrap/>
            <w:vAlign w:val="bottom"/>
            <w:hideMark/>
          </w:tcPr>
          <w:p w14:paraId="7F29C8CB"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1013</w:t>
            </w:r>
          </w:p>
        </w:tc>
        <w:tc>
          <w:tcPr>
            <w:tcW w:w="1200" w:type="dxa"/>
            <w:tcBorders>
              <w:top w:val="nil"/>
              <w:left w:val="nil"/>
              <w:bottom w:val="single" w:sz="4" w:space="0" w:color="auto"/>
              <w:right w:val="single" w:sz="4" w:space="0" w:color="auto"/>
            </w:tcBorders>
            <w:shd w:val="clear" w:color="auto" w:fill="auto"/>
            <w:noWrap/>
            <w:vAlign w:val="bottom"/>
            <w:hideMark/>
          </w:tcPr>
          <w:p w14:paraId="01090B09"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63.68</w:t>
            </w:r>
          </w:p>
        </w:tc>
        <w:tc>
          <w:tcPr>
            <w:tcW w:w="1418" w:type="dxa"/>
            <w:tcBorders>
              <w:top w:val="nil"/>
              <w:left w:val="nil"/>
              <w:bottom w:val="single" w:sz="4" w:space="0" w:color="auto"/>
              <w:right w:val="single" w:sz="4" w:space="0" w:color="auto"/>
            </w:tcBorders>
            <w:shd w:val="clear" w:color="auto" w:fill="auto"/>
            <w:noWrap/>
            <w:vAlign w:val="bottom"/>
            <w:hideMark/>
          </w:tcPr>
          <w:p w14:paraId="52F91257"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45.61</w:t>
            </w:r>
          </w:p>
        </w:tc>
        <w:tc>
          <w:tcPr>
            <w:tcW w:w="1200" w:type="dxa"/>
            <w:tcBorders>
              <w:top w:val="nil"/>
              <w:left w:val="nil"/>
              <w:bottom w:val="single" w:sz="4" w:space="0" w:color="auto"/>
              <w:right w:val="single" w:sz="4" w:space="0" w:color="auto"/>
            </w:tcBorders>
            <w:shd w:val="clear" w:color="auto" w:fill="auto"/>
            <w:noWrap/>
            <w:vAlign w:val="bottom"/>
            <w:hideMark/>
          </w:tcPr>
          <w:p w14:paraId="384164AE" w14:textId="77777777" w:rsidR="000F6F1D" w:rsidRPr="00412011" w:rsidRDefault="000F6F1D" w:rsidP="000F6F1D">
            <w:pPr>
              <w:spacing w:after="0" w:line="240" w:lineRule="auto"/>
              <w:jc w:val="right"/>
              <w:rPr>
                <w:rFonts w:ascii="Arial" w:eastAsia="Times New Roman" w:hAnsi="Arial" w:cs="Arial"/>
                <w:color w:val="000000"/>
                <w:sz w:val="20"/>
                <w:szCs w:val="20"/>
                <w:lang w:eastAsia="es-MX"/>
              </w:rPr>
            </w:pPr>
            <w:r w:rsidRPr="00412011">
              <w:rPr>
                <w:rFonts w:ascii="Arial" w:eastAsia="Times New Roman" w:hAnsi="Arial" w:cs="Arial"/>
                <w:color w:val="000000"/>
                <w:sz w:val="20"/>
                <w:szCs w:val="20"/>
                <w:lang w:eastAsia="es-MX"/>
              </w:rPr>
              <w:t>26.76%</w:t>
            </w:r>
          </w:p>
        </w:tc>
      </w:tr>
      <w:tr w:rsidR="000F6F1D" w:rsidRPr="00412011" w14:paraId="4CE38704" w14:textId="77777777" w:rsidTr="000F6F1D">
        <w:trPr>
          <w:trHeight w:val="300"/>
          <w:jc w:val="center"/>
        </w:trPr>
        <w:tc>
          <w:tcPr>
            <w:tcW w:w="1600" w:type="dxa"/>
            <w:tcBorders>
              <w:top w:val="nil"/>
              <w:left w:val="single" w:sz="4" w:space="0" w:color="auto"/>
              <w:bottom w:val="single" w:sz="4" w:space="0" w:color="auto"/>
              <w:right w:val="single" w:sz="4" w:space="0" w:color="auto"/>
            </w:tcBorders>
            <w:shd w:val="clear" w:color="auto" w:fill="auto"/>
            <w:noWrap/>
            <w:vAlign w:val="bottom"/>
            <w:hideMark/>
          </w:tcPr>
          <w:p w14:paraId="4C980C63" w14:textId="77777777" w:rsidR="000F6F1D" w:rsidRPr="00412011" w:rsidRDefault="000F6F1D" w:rsidP="000F6F1D">
            <w:pPr>
              <w:spacing w:after="0" w:line="240" w:lineRule="auto"/>
              <w:rPr>
                <w:rFonts w:ascii="Arial" w:eastAsia="Times New Roman" w:hAnsi="Arial" w:cs="Arial"/>
                <w:color w:val="000000"/>
                <w:sz w:val="20"/>
                <w:szCs w:val="20"/>
                <w:lang w:eastAsia="es-MX"/>
              </w:rPr>
            </w:pPr>
            <w:r w:rsidRPr="00412011">
              <w:rPr>
                <w:rFonts w:ascii="Arial" w:eastAsia="Times New Roman" w:hAnsi="Arial" w:cs="Arial"/>
                <w:color w:val="000000"/>
                <w:sz w:val="20"/>
                <w:szCs w:val="20"/>
                <w:lang w:eastAsia="es-MX"/>
              </w:rPr>
              <w:t>Coahuila</w:t>
            </w:r>
          </w:p>
        </w:tc>
        <w:tc>
          <w:tcPr>
            <w:tcW w:w="1200" w:type="dxa"/>
            <w:tcBorders>
              <w:top w:val="nil"/>
              <w:left w:val="nil"/>
              <w:bottom w:val="single" w:sz="4" w:space="0" w:color="auto"/>
              <w:right w:val="single" w:sz="4" w:space="0" w:color="auto"/>
            </w:tcBorders>
            <w:shd w:val="clear" w:color="auto" w:fill="auto"/>
            <w:noWrap/>
            <w:vAlign w:val="bottom"/>
            <w:hideMark/>
          </w:tcPr>
          <w:p w14:paraId="00201061"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1.50%</w:t>
            </w:r>
          </w:p>
        </w:tc>
        <w:tc>
          <w:tcPr>
            <w:tcW w:w="1286" w:type="dxa"/>
            <w:tcBorders>
              <w:top w:val="nil"/>
              <w:left w:val="nil"/>
              <w:bottom w:val="single" w:sz="4" w:space="0" w:color="auto"/>
              <w:right w:val="single" w:sz="4" w:space="0" w:color="auto"/>
            </w:tcBorders>
            <w:shd w:val="clear" w:color="auto" w:fill="auto"/>
            <w:noWrap/>
            <w:vAlign w:val="bottom"/>
            <w:hideMark/>
          </w:tcPr>
          <w:p w14:paraId="6921079E"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625</w:t>
            </w:r>
          </w:p>
        </w:tc>
        <w:tc>
          <w:tcPr>
            <w:tcW w:w="1200" w:type="dxa"/>
            <w:tcBorders>
              <w:top w:val="nil"/>
              <w:left w:val="nil"/>
              <w:bottom w:val="single" w:sz="4" w:space="0" w:color="auto"/>
              <w:right w:val="single" w:sz="4" w:space="0" w:color="auto"/>
            </w:tcBorders>
            <w:shd w:val="clear" w:color="auto" w:fill="auto"/>
            <w:noWrap/>
            <w:vAlign w:val="bottom"/>
            <w:hideMark/>
          </w:tcPr>
          <w:p w14:paraId="332E22F3"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65.31</w:t>
            </w:r>
          </w:p>
        </w:tc>
        <w:tc>
          <w:tcPr>
            <w:tcW w:w="1418" w:type="dxa"/>
            <w:tcBorders>
              <w:top w:val="nil"/>
              <w:left w:val="nil"/>
              <w:bottom w:val="single" w:sz="4" w:space="0" w:color="auto"/>
              <w:right w:val="single" w:sz="4" w:space="0" w:color="auto"/>
            </w:tcBorders>
            <w:shd w:val="clear" w:color="auto" w:fill="auto"/>
            <w:noWrap/>
            <w:vAlign w:val="bottom"/>
            <w:hideMark/>
          </w:tcPr>
          <w:p w14:paraId="0BFF9162"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2.61</w:t>
            </w:r>
          </w:p>
        </w:tc>
        <w:tc>
          <w:tcPr>
            <w:tcW w:w="1200" w:type="dxa"/>
            <w:tcBorders>
              <w:top w:val="nil"/>
              <w:left w:val="nil"/>
              <w:bottom w:val="single" w:sz="4" w:space="0" w:color="auto"/>
              <w:right w:val="single" w:sz="4" w:space="0" w:color="auto"/>
            </w:tcBorders>
            <w:shd w:val="clear" w:color="auto" w:fill="auto"/>
            <w:noWrap/>
            <w:vAlign w:val="bottom"/>
            <w:hideMark/>
          </w:tcPr>
          <w:p w14:paraId="66790C8E"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182.17</w:t>
            </w:r>
          </w:p>
        </w:tc>
      </w:tr>
      <w:tr w:rsidR="000F6F1D" w:rsidRPr="00412011" w14:paraId="2EDB9ECA" w14:textId="77777777" w:rsidTr="000F6F1D">
        <w:trPr>
          <w:trHeight w:val="300"/>
          <w:jc w:val="center"/>
        </w:trPr>
        <w:tc>
          <w:tcPr>
            <w:tcW w:w="1600" w:type="dxa"/>
            <w:tcBorders>
              <w:top w:val="nil"/>
              <w:left w:val="single" w:sz="4" w:space="0" w:color="auto"/>
              <w:bottom w:val="single" w:sz="4" w:space="0" w:color="auto"/>
              <w:right w:val="single" w:sz="4" w:space="0" w:color="auto"/>
            </w:tcBorders>
            <w:shd w:val="clear" w:color="auto" w:fill="auto"/>
            <w:noWrap/>
            <w:vAlign w:val="bottom"/>
            <w:hideMark/>
          </w:tcPr>
          <w:p w14:paraId="4FBF7FB7" w14:textId="77777777" w:rsidR="000F6F1D" w:rsidRPr="00412011" w:rsidRDefault="000F6F1D" w:rsidP="000F6F1D">
            <w:pPr>
              <w:spacing w:after="0" w:line="240" w:lineRule="auto"/>
              <w:rPr>
                <w:rFonts w:ascii="Arial" w:eastAsia="Times New Roman" w:hAnsi="Arial" w:cs="Arial"/>
                <w:color w:val="000000"/>
                <w:sz w:val="20"/>
                <w:szCs w:val="20"/>
                <w:lang w:eastAsia="es-MX"/>
              </w:rPr>
            </w:pPr>
            <w:r w:rsidRPr="00412011">
              <w:rPr>
                <w:rFonts w:ascii="Arial" w:eastAsia="Times New Roman" w:hAnsi="Arial" w:cs="Arial"/>
                <w:color w:val="000000"/>
                <w:sz w:val="20"/>
                <w:szCs w:val="20"/>
                <w:lang w:eastAsia="es-MX"/>
              </w:rPr>
              <w:t>Colima</w:t>
            </w:r>
          </w:p>
        </w:tc>
        <w:tc>
          <w:tcPr>
            <w:tcW w:w="1200" w:type="dxa"/>
            <w:tcBorders>
              <w:top w:val="nil"/>
              <w:left w:val="nil"/>
              <w:bottom w:val="single" w:sz="4" w:space="0" w:color="auto"/>
              <w:right w:val="single" w:sz="4" w:space="0" w:color="auto"/>
            </w:tcBorders>
            <w:shd w:val="clear" w:color="auto" w:fill="auto"/>
            <w:noWrap/>
            <w:vAlign w:val="bottom"/>
            <w:hideMark/>
          </w:tcPr>
          <w:p w14:paraId="00937277"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7.56%</w:t>
            </w:r>
          </w:p>
        </w:tc>
        <w:tc>
          <w:tcPr>
            <w:tcW w:w="1286" w:type="dxa"/>
            <w:tcBorders>
              <w:top w:val="nil"/>
              <w:left w:val="nil"/>
              <w:bottom w:val="single" w:sz="4" w:space="0" w:color="auto"/>
              <w:right w:val="single" w:sz="4" w:space="0" w:color="auto"/>
            </w:tcBorders>
            <w:shd w:val="clear" w:color="auto" w:fill="auto"/>
            <w:noWrap/>
            <w:vAlign w:val="bottom"/>
            <w:hideMark/>
          </w:tcPr>
          <w:p w14:paraId="339AF0AF"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198</w:t>
            </w:r>
          </w:p>
        </w:tc>
        <w:tc>
          <w:tcPr>
            <w:tcW w:w="1200" w:type="dxa"/>
            <w:tcBorders>
              <w:top w:val="nil"/>
              <w:left w:val="nil"/>
              <w:bottom w:val="single" w:sz="4" w:space="0" w:color="auto"/>
              <w:right w:val="single" w:sz="4" w:space="0" w:color="auto"/>
            </w:tcBorders>
            <w:shd w:val="clear" w:color="auto" w:fill="auto"/>
            <w:noWrap/>
            <w:vAlign w:val="bottom"/>
            <w:hideMark/>
          </w:tcPr>
          <w:p w14:paraId="5A103EEB"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130.75</w:t>
            </w:r>
          </w:p>
        </w:tc>
        <w:tc>
          <w:tcPr>
            <w:tcW w:w="1418" w:type="dxa"/>
            <w:tcBorders>
              <w:top w:val="nil"/>
              <w:left w:val="nil"/>
              <w:bottom w:val="single" w:sz="4" w:space="0" w:color="auto"/>
              <w:right w:val="single" w:sz="4" w:space="0" w:color="auto"/>
            </w:tcBorders>
            <w:shd w:val="clear" w:color="auto" w:fill="auto"/>
            <w:noWrap/>
            <w:vAlign w:val="bottom"/>
            <w:hideMark/>
          </w:tcPr>
          <w:p w14:paraId="3C4A9E71"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2.22</w:t>
            </w:r>
          </w:p>
        </w:tc>
        <w:tc>
          <w:tcPr>
            <w:tcW w:w="1200" w:type="dxa"/>
            <w:tcBorders>
              <w:top w:val="nil"/>
              <w:left w:val="nil"/>
              <w:bottom w:val="single" w:sz="4" w:space="0" w:color="auto"/>
              <w:right w:val="single" w:sz="4" w:space="0" w:color="auto"/>
            </w:tcBorders>
            <w:shd w:val="clear" w:color="auto" w:fill="auto"/>
            <w:noWrap/>
            <w:vAlign w:val="bottom"/>
            <w:hideMark/>
          </w:tcPr>
          <w:p w14:paraId="15AD27C6"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169.85</w:t>
            </w:r>
          </w:p>
        </w:tc>
      </w:tr>
      <w:tr w:rsidR="000F6F1D" w:rsidRPr="00412011" w14:paraId="0E507207" w14:textId="77777777" w:rsidTr="000F6F1D">
        <w:trPr>
          <w:trHeight w:val="300"/>
          <w:jc w:val="center"/>
        </w:trPr>
        <w:tc>
          <w:tcPr>
            <w:tcW w:w="1600" w:type="dxa"/>
            <w:tcBorders>
              <w:top w:val="nil"/>
              <w:left w:val="single" w:sz="4" w:space="0" w:color="auto"/>
              <w:bottom w:val="single" w:sz="4" w:space="0" w:color="auto"/>
              <w:right w:val="single" w:sz="4" w:space="0" w:color="auto"/>
            </w:tcBorders>
            <w:shd w:val="clear" w:color="auto" w:fill="auto"/>
            <w:noWrap/>
            <w:vAlign w:val="bottom"/>
            <w:hideMark/>
          </w:tcPr>
          <w:p w14:paraId="3A676647" w14:textId="77777777" w:rsidR="000F6F1D" w:rsidRPr="00412011" w:rsidRDefault="000F6F1D" w:rsidP="000F6F1D">
            <w:pPr>
              <w:spacing w:after="0" w:line="240" w:lineRule="auto"/>
              <w:rPr>
                <w:rFonts w:ascii="Arial" w:eastAsia="Times New Roman" w:hAnsi="Arial" w:cs="Arial"/>
                <w:color w:val="000000"/>
                <w:sz w:val="20"/>
                <w:szCs w:val="20"/>
                <w:lang w:eastAsia="es-MX"/>
              </w:rPr>
            </w:pPr>
            <w:r w:rsidRPr="00412011">
              <w:rPr>
                <w:rFonts w:ascii="Arial" w:eastAsia="Times New Roman" w:hAnsi="Arial" w:cs="Arial"/>
                <w:color w:val="000000"/>
                <w:sz w:val="20"/>
                <w:szCs w:val="20"/>
                <w:lang w:eastAsia="es-MX"/>
              </w:rPr>
              <w:t>Durango</w:t>
            </w:r>
          </w:p>
        </w:tc>
        <w:tc>
          <w:tcPr>
            <w:tcW w:w="1200" w:type="dxa"/>
            <w:tcBorders>
              <w:top w:val="nil"/>
              <w:left w:val="nil"/>
              <w:bottom w:val="single" w:sz="4" w:space="0" w:color="auto"/>
              <w:right w:val="single" w:sz="4" w:space="0" w:color="auto"/>
            </w:tcBorders>
            <w:shd w:val="clear" w:color="auto" w:fill="auto"/>
            <w:noWrap/>
            <w:vAlign w:val="bottom"/>
            <w:hideMark/>
          </w:tcPr>
          <w:p w14:paraId="2BCB82CB"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0.83%</w:t>
            </w:r>
          </w:p>
        </w:tc>
        <w:tc>
          <w:tcPr>
            <w:tcW w:w="1286" w:type="dxa"/>
            <w:tcBorders>
              <w:top w:val="nil"/>
              <w:left w:val="nil"/>
              <w:bottom w:val="single" w:sz="4" w:space="0" w:color="auto"/>
              <w:right w:val="single" w:sz="4" w:space="0" w:color="auto"/>
            </w:tcBorders>
            <w:shd w:val="clear" w:color="auto" w:fill="auto"/>
            <w:noWrap/>
            <w:vAlign w:val="bottom"/>
            <w:hideMark/>
          </w:tcPr>
          <w:p w14:paraId="396566C9"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797</w:t>
            </w:r>
          </w:p>
        </w:tc>
        <w:tc>
          <w:tcPr>
            <w:tcW w:w="1200" w:type="dxa"/>
            <w:tcBorders>
              <w:top w:val="nil"/>
              <w:left w:val="nil"/>
              <w:bottom w:val="single" w:sz="4" w:space="0" w:color="auto"/>
              <w:right w:val="single" w:sz="4" w:space="0" w:color="auto"/>
            </w:tcBorders>
            <w:shd w:val="clear" w:color="auto" w:fill="auto"/>
            <w:noWrap/>
            <w:vAlign w:val="bottom"/>
            <w:hideMark/>
          </w:tcPr>
          <w:p w14:paraId="0224F9FA"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154.14</w:t>
            </w:r>
          </w:p>
        </w:tc>
        <w:tc>
          <w:tcPr>
            <w:tcW w:w="1418" w:type="dxa"/>
            <w:tcBorders>
              <w:top w:val="nil"/>
              <w:left w:val="nil"/>
              <w:bottom w:val="single" w:sz="4" w:space="0" w:color="auto"/>
              <w:right w:val="single" w:sz="4" w:space="0" w:color="auto"/>
            </w:tcBorders>
            <w:shd w:val="clear" w:color="auto" w:fill="auto"/>
            <w:noWrap/>
            <w:vAlign w:val="bottom"/>
            <w:hideMark/>
          </w:tcPr>
          <w:p w14:paraId="5F968DD6"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2.07</w:t>
            </w:r>
          </w:p>
        </w:tc>
        <w:tc>
          <w:tcPr>
            <w:tcW w:w="1200" w:type="dxa"/>
            <w:tcBorders>
              <w:top w:val="nil"/>
              <w:left w:val="nil"/>
              <w:bottom w:val="single" w:sz="4" w:space="0" w:color="auto"/>
              <w:right w:val="single" w:sz="4" w:space="0" w:color="auto"/>
            </w:tcBorders>
            <w:shd w:val="clear" w:color="auto" w:fill="auto"/>
            <w:noWrap/>
            <w:vAlign w:val="bottom"/>
            <w:hideMark/>
          </w:tcPr>
          <w:p w14:paraId="2DCC366B"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181.84</w:t>
            </w:r>
          </w:p>
        </w:tc>
      </w:tr>
      <w:tr w:rsidR="000F6F1D" w:rsidRPr="00412011" w14:paraId="6742817B" w14:textId="77777777" w:rsidTr="000F6F1D">
        <w:trPr>
          <w:trHeight w:val="300"/>
          <w:jc w:val="center"/>
        </w:trPr>
        <w:tc>
          <w:tcPr>
            <w:tcW w:w="1600" w:type="dxa"/>
            <w:tcBorders>
              <w:top w:val="nil"/>
              <w:left w:val="single" w:sz="4" w:space="0" w:color="auto"/>
              <w:bottom w:val="single" w:sz="4" w:space="0" w:color="auto"/>
              <w:right w:val="single" w:sz="4" w:space="0" w:color="auto"/>
            </w:tcBorders>
            <w:shd w:val="clear" w:color="auto" w:fill="auto"/>
            <w:noWrap/>
            <w:vAlign w:val="bottom"/>
            <w:hideMark/>
          </w:tcPr>
          <w:p w14:paraId="3F333123" w14:textId="77777777" w:rsidR="000F6F1D" w:rsidRPr="00412011" w:rsidRDefault="000F6F1D" w:rsidP="000F6F1D">
            <w:pPr>
              <w:spacing w:after="0" w:line="240" w:lineRule="auto"/>
              <w:rPr>
                <w:rFonts w:ascii="Arial" w:eastAsia="Times New Roman" w:hAnsi="Arial" w:cs="Arial"/>
                <w:color w:val="000000"/>
                <w:sz w:val="20"/>
                <w:szCs w:val="20"/>
                <w:lang w:eastAsia="es-MX"/>
              </w:rPr>
            </w:pPr>
            <w:r w:rsidRPr="00412011">
              <w:rPr>
                <w:rFonts w:ascii="Arial" w:eastAsia="Times New Roman" w:hAnsi="Arial" w:cs="Arial"/>
                <w:color w:val="000000"/>
                <w:sz w:val="20"/>
                <w:szCs w:val="20"/>
                <w:lang w:eastAsia="es-MX"/>
              </w:rPr>
              <w:t>Guanajuato</w:t>
            </w:r>
          </w:p>
        </w:tc>
        <w:tc>
          <w:tcPr>
            <w:tcW w:w="1200" w:type="dxa"/>
            <w:tcBorders>
              <w:top w:val="nil"/>
              <w:left w:val="nil"/>
              <w:bottom w:val="single" w:sz="4" w:space="0" w:color="auto"/>
              <w:right w:val="single" w:sz="4" w:space="0" w:color="auto"/>
            </w:tcBorders>
            <w:shd w:val="clear" w:color="auto" w:fill="auto"/>
            <w:noWrap/>
            <w:vAlign w:val="bottom"/>
            <w:hideMark/>
          </w:tcPr>
          <w:p w14:paraId="29F0E734"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6.21%</w:t>
            </w:r>
          </w:p>
        </w:tc>
        <w:tc>
          <w:tcPr>
            <w:tcW w:w="1286" w:type="dxa"/>
            <w:tcBorders>
              <w:top w:val="nil"/>
              <w:left w:val="nil"/>
              <w:bottom w:val="single" w:sz="4" w:space="0" w:color="auto"/>
              <w:right w:val="single" w:sz="4" w:space="0" w:color="auto"/>
            </w:tcBorders>
            <w:shd w:val="clear" w:color="auto" w:fill="auto"/>
            <w:noWrap/>
            <w:vAlign w:val="bottom"/>
            <w:hideMark/>
          </w:tcPr>
          <w:p w14:paraId="19E2876A"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863</w:t>
            </w:r>
          </w:p>
        </w:tc>
        <w:tc>
          <w:tcPr>
            <w:tcW w:w="1200" w:type="dxa"/>
            <w:tcBorders>
              <w:top w:val="nil"/>
              <w:left w:val="nil"/>
              <w:bottom w:val="single" w:sz="4" w:space="0" w:color="auto"/>
              <w:right w:val="single" w:sz="4" w:space="0" w:color="auto"/>
            </w:tcBorders>
            <w:shd w:val="clear" w:color="auto" w:fill="auto"/>
            <w:noWrap/>
            <w:vAlign w:val="bottom"/>
            <w:hideMark/>
          </w:tcPr>
          <w:p w14:paraId="2271B8F6"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61.77</w:t>
            </w:r>
          </w:p>
        </w:tc>
        <w:tc>
          <w:tcPr>
            <w:tcW w:w="1418" w:type="dxa"/>
            <w:tcBorders>
              <w:top w:val="nil"/>
              <w:left w:val="nil"/>
              <w:bottom w:val="single" w:sz="4" w:space="0" w:color="auto"/>
              <w:right w:val="single" w:sz="4" w:space="0" w:color="auto"/>
            </w:tcBorders>
            <w:shd w:val="clear" w:color="auto" w:fill="auto"/>
            <w:noWrap/>
            <w:vAlign w:val="bottom"/>
            <w:hideMark/>
          </w:tcPr>
          <w:p w14:paraId="7FD18BD5"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4.82</w:t>
            </w:r>
          </w:p>
        </w:tc>
        <w:tc>
          <w:tcPr>
            <w:tcW w:w="1200" w:type="dxa"/>
            <w:tcBorders>
              <w:top w:val="nil"/>
              <w:left w:val="nil"/>
              <w:bottom w:val="single" w:sz="4" w:space="0" w:color="auto"/>
              <w:right w:val="single" w:sz="4" w:space="0" w:color="auto"/>
            </w:tcBorders>
            <w:shd w:val="clear" w:color="auto" w:fill="auto"/>
            <w:noWrap/>
            <w:vAlign w:val="bottom"/>
            <w:hideMark/>
          </w:tcPr>
          <w:p w14:paraId="24EE5BBF"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187.75</w:t>
            </w:r>
          </w:p>
        </w:tc>
      </w:tr>
      <w:tr w:rsidR="000F6F1D" w:rsidRPr="00412011" w14:paraId="64902C52" w14:textId="77777777" w:rsidTr="000F6F1D">
        <w:trPr>
          <w:trHeight w:val="300"/>
          <w:jc w:val="center"/>
        </w:trPr>
        <w:tc>
          <w:tcPr>
            <w:tcW w:w="1600" w:type="dxa"/>
            <w:tcBorders>
              <w:top w:val="nil"/>
              <w:left w:val="single" w:sz="4" w:space="0" w:color="auto"/>
              <w:bottom w:val="single" w:sz="4" w:space="0" w:color="auto"/>
              <w:right w:val="single" w:sz="4" w:space="0" w:color="auto"/>
            </w:tcBorders>
            <w:shd w:val="clear" w:color="auto" w:fill="auto"/>
            <w:noWrap/>
            <w:vAlign w:val="bottom"/>
            <w:hideMark/>
          </w:tcPr>
          <w:p w14:paraId="7D6E3661" w14:textId="77777777" w:rsidR="000F6F1D" w:rsidRPr="00412011" w:rsidRDefault="000F6F1D" w:rsidP="000F6F1D">
            <w:pPr>
              <w:spacing w:after="0" w:line="240" w:lineRule="auto"/>
              <w:rPr>
                <w:rFonts w:ascii="Arial" w:eastAsia="Times New Roman" w:hAnsi="Arial" w:cs="Arial"/>
                <w:color w:val="000000"/>
                <w:sz w:val="20"/>
                <w:szCs w:val="20"/>
                <w:lang w:eastAsia="es-MX"/>
              </w:rPr>
            </w:pPr>
            <w:r w:rsidRPr="00412011">
              <w:rPr>
                <w:rFonts w:ascii="Arial" w:eastAsia="Times New Roman" w:hAnsi="Arial" w:cs="Arial"/>
                <w:color w:val="000000"/>
                <w:sz w:val="20"/>
                <w:szCs w:val="20"/>
                <w:lang w:eastAsia="es-MX"/>
              </w:rPr>
              <w:t>Guerrero</w:t>
            </w:r>
          </w:p>
        </w:tc>
        <w:tc>
          <w:tcPr>
            <w:tcW w:w="1200" w:type="dxa"/>
            <w:tcBorders>
              <w:top w:val="nil"/>
              <w:left w:val="nil"/>
              <w:bottom w:val="single" w:sz="4" w:space="0" w:color="auto"/>
              <w:right w:val="single" w:sz="4" w:space="0" w:color="auto"/>
            </w:tcBorders>
            <w:shd w:val="clear" w:color="auto" w:fill="auto"/>
            <w:noWrap/>
            <w:vAlign w:val="bottom"/>
            <w:hideMark/>
          </w:tcPr>
          <w:p w14:paraId="08291A42"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3.04%</w:t>
            </w:r>
          </w:p>
        </w:tc>
        <w:tc>
          <w:tcPr>
            <w:tcW w:w="1286" w:type="dxa"/>
            <w:tcBorders>
              <w:top w:val="nil"/>
              <w:left w:val="nil"/>
              <w:bottom w:val="single" w:sz="4" w:space="0" w:color="auto"/>
              <w:right w:val="single" w:sz="4" w:space="0" w:color="auto"/>
            </w:tcBorders>
            <w:shd w:val="clear" w:color="auto" w:fill="auto"/>
            <w:noWrap/>
            <w:vAlign w:val="bottom"/>
            <w:hideMark/>
          </w:tcPr>
          <w:p w14:paraId="2BE1028F"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1378</w:t>
            </w:r>
          </w:p>
        </w:tc>
        <w:tc>
          <w:tcPr>
            <w:tcW w:w="1200" w:type="dxa"/>
            <w:tcBorders>
              <w:top w:val="nil"/>
              <w:left w:val="nil"/>
              <w:bottom w:val="single" w:sz="4" w:space="0" w:color="auto"/>
              <w:right w:val="single" w:sz="4" w:space="0" w:color="auto"/>
            </w:tcBorders>
            <w:shd w:val="clear" w:color="auto" w:fill="auto"/>
            <w:noWrap/>
            <w:vAlign w:val="bottom"/>
            <w:hideMark/>
          </w:tcPr>
          <w:p w14:paraId="722C04B5"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167.91</w:t>
            </w:r>
          </w:p>
        </w:tc>
        <w:tc>
          <w:tcPr>
            <w:tcW w:w="1418" w:type="dxa"/>
            <w:tcBorders>
              <w:top w:val="nil"/>
              <w:left w:val="nil"/>
              <w:bottom w:val="single" w:sz="4" w:space="0" w:color="auto"/>
              <w:right w:val="single" w:sz="4" w:space="0" w:color="auto"/>
            </w:tcBorders>
            <w:shd w:val="clear" w:color="auto" w:fill="auto"/>
            <w:noWrap/>
            <w:vAlign w:val="bottom"/>
            <w:hideMark/>
          </w:tcPr>
          <w:p w14:paraId="1DBD8F03"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1.11</w:t>
            </w:r>
          </w:p>
        </w:tc>
        <w:tc>
          <w:tcPr>
            <w:tcW w:w="1200" w:type="dxa"/>
            <w:tcBorders>
              <w:top w:val="nil"/>
              <w:left w:val="nil"/>
              <w:bottom w:val="single" w:sz="4" w:space="0" w:color="auto"/>
              <w:right w:val="single" w:sz="4" w:space="0" w:color="auto"/>
            </w:tcBorders>
            <w:shd w:val="clear" w:color="auto" w:fill="auto"/>
            <w:noWrap/>
            <w:vAlign w:val="bottom"/>
            <w:hideMark/>
          </w:tcPr>
          <w:p w14:paraId="0C24384A"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236.03</w:t>
            </w:r>
          </w:p>
        </w:tc>
      </w:tr>
      <w:tr w:rsidR="000F6F1D" w:rsidRPr="00412011" w14:paraId="00CE89EF" w14:textId="77777777" w:rsidTr="000F6F1D">
        <w:trPr>
          <w:trHeight w:val="300"/>
          <w:jc w:val="center"/>
        </w:trPr>
        <w:tc>
          <w:tcPr>
            <w:tcW w:w="1600" w:type="dxa"/>
            <w:tcBorders>
              <w:top w:val="nil"/>
              <w:left w:val="single" w:sz="4" w:space="0" w:color="auto"/>
              <w:bottom w:val="single" w:sz="4" w:space="0" w:color="auto"/>
              <w:right w:val="single" w:sz="4" w:space="0" w:color="auto"/>
            </w:tcBorders>
            <w:shd w:val="clear" w:color="auto" w:fill="auto"/>
            <w:noWrap/>
            <w:vAlign w:val="bottom"/>
            <w:hideMark/>
          </w:tcPr>
          <w:p w14:paraId="0A0143E6" w14:textId="77777777" w:rsidR="000F6F1D" w:rsidRPr="00412011" w:rsidRDefault="000F6F1D" w:rsidP="000F6F1D">
            <w:pPr>
              <w:spacing w:after="0" w:line="240" w:lineRule="auto"/>
              <w:rPr>
                <w:rFonts w:ascii="Arial" w:eastAsia="Times New Roman" w:hAnsi="Arial" w:cs="Arial"/>
                <w:color w:val="000000"/>
                <w:sz w:val="20"/>
                <w:szCs w:val="20"/>
                <w:lang w:eastAsia="es-MX"/>
              </w:rPr>
            </w:pPr>
            <w:r w:rsidRPr="00412011">
              <w:rPr>
                <w:rFonts w:ascii="Arial" w:eastAsia="Times New Roman" w:hAnsi="Arial" w:cs="Arial"/>
                <w:color w:val="000000"/>
                <w:sz w:val="20"/>
                <w:szCs w:val="20"/>
                <w:lang w:eastAsia="es-MX"/>
              </w:rPr>
              <w:t>Hidalgo</w:t>
            </w:r>
          </w:p>
        </w:tc>
        <w:tc>
          <w:tcPr>
            <w:tcW w:w="1200" w:type="dxa"/>
            <w:tcBorders>
              <w:top w:val="nil"/>
              <w:left w:val="nil"/>
              <w:bottom w:val="single" w:sz="4" w:space="0" w:color="auto"/>
              <w:right w:val="single" w:sz="4" w:space="0" w:color="auto"/>
            </w:tcBorders>
            <w:shd w:val="clear" w:color="auto" w:fill="auto"/>
            <w:noWrap/>
            <w:vAlign w:val="bottom"/>
            <w:hideMark/>
          </w:tcPr>
          <w:p w14:paraId="6D967690"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1.87%</w:t>
            </w:r>
          </w:p>
        </w:tc>
        <w:tc>
          <w:tcPr>
            <w:tcW w:w="1286" w:type="dxa"/>
            <w:tcBorders>
              <w:top w:val="nil"/>
              <w:left w:val="nil"/>
              <w:bottom w:val="single" w:sz="4" w:space="0" w:color="auto"/>
              <w:right w:val="single" w:sz="4" w:space="0" w:color="auto"/>
            </w:tcBorders>
            <w:shd w:val="clear" w:color="auto" w:fill="auto"/>
            <w:noWrap/>
            <w:vAlign w:val="bottom"/>
            <w:hideMark/>
          </w:tcPr>
          <w:p w14:paraId="404F725E"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1263</w:t>
            </w:r>
          </w:p>
        </w:tc>
        <w:tc>
          <w:tcPr>
            <w:tcW w:w="1200" w:type="dxa"/>
            <w:tcBorders>
              <w:top w:val="nil"/>
              <w:left w:val="nil"/>
              <w:bottom w:val="single" w:sz="4" w:space="0" w:color="auto"/>
              <w:right w:val="single" w:sz="4" w:space="0" w:color="auto"/>
            </w:tcBorders>
            <w:shd w:val="clear" w:color="auto" w:fill="auto"/>
            <w:noWrap/>
            <w:vAlign w:val="bottom"/>
            <w:hideMark/>
          </w:tcPr>
          <w:p w14:paraId="42E343F5"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177.54</w:t>
            </w:r>
          </w:p>
        </w:tc>
        <w:tc>
          <w:tcPr>
            <w:tcW w:w="1418" w:type="dxa"/>
            <w:tcBorders>
              <w:top w:val="nil"/>
              <w:left w:val="nil"/>
              <w:bottom w:val="single" w:sz="4" w:space="0" w:color="auto"/>
              <w:right w:val="single" w:sz="4" w:space="0" w:color="auto"/>
            </w:tcBorders>
            <w:shd w:val="clear" w:color="auto" w:fill="auto"/>
            <w:noWrap/>
            <w:vAlign w:val="bottom"/>
            <w:hideMark/>
          </w:tcPr>
          <w:p w14:paraId="23B2F69B"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4.13</w:t>
            </w:r>
          </w:p>
        </w:tc>
        <w:tc>
          <w:tcPr>
            <w:tcW w:w="1200" w:type="dxa"/>
            <w:tcBorders>
              <w:top w:val="nil"/>
              <w:left w:val="nil"/>
              <w:bottom w:val="single" w:sz="4" w:space="0" w:color="auto"/>
              <w:right w:val="single" w:sz="4" w:space="0" w:color="auto"/>
            </w:tcBorders>
            <w:shd w:val="clear" w:color="auto" w:fill="auto"/>
            <w:noWrap/>
            <w:vAlign w:val="bottom"/>
            <w:hideMark/>
          </w:tcPr>
          <w:p w14:paraId="23AB61AA"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175.81</w:t>
            </w:r>
          </w:p>
        </w:tc>
      </w:tr>
      <w:tr w:rsidR="000F6F1D" w:rsidRPr="00412011" w14:paraId="657E2E0C" w14:textId="77777777" w:rsidTr="000F6F1D">
        <w:trPr>
          <w:trHeight w:val="300"/>
          <w:jc w:val="center"/>
        </w:trPr>
        <w:tc>
          <w:tcPr>
            <w:tcW w:w="1600" w:type="dxa"/>
            <w:tcBorders>
              <w:top w:val="nil"/>
              <w:left w:val="single" w:sz="4" w:space="0" w:color="auto"/>
              <w:bottom w:val="single" w:sz="4" w:space="0" w:color="auto"/>
              <w:right w:val="single" w:sz="4" w:space="0" w:color="auto"/>
            </w:tcBorders>
            <w:shd w:val="clear" w:color="auto" w:fill="auto"/>
            <w:noWrap/>
            <w:vAlign w:val="bottom"/>
            <w:hideMark/>
          </w:tcPr>
          <w:p w14:paraId="0E8E3AC4" w14:textId="77777777" w:rsidR="000F6F1D" w:rsidRPr="00412011" w:rsidRDefault="000F6F1D" w:rsidP="000F6F1D">
            <w:pPr>
              <w:spacing w:after="0" w:line="240" w:lineRule="auto"/>
              <w:rPr>
                <w:rFonts w:ascii="Arial" w:eastAsia="Times New Roman" w:hAnsi="Arial" w:cs="Arial"/>
                <w:color w:val="000000"/>
                <w:sz w:val="20"/>
                <w:szCs w:val="20"/>
                <w:lang w:eastAsia="es-MX"/>
              </w:rPr>
            </w:pPr>
            <w:r w:rsidRPr="00412011">
              <w:rPr>
                <w:rFonts w:ascii="Arial" w:eastAsia="Times New Roman" w:hAnsi="Arial" w:cs="Arial"/>
                <w:color w:val="000000"/>
                <w:sz w:val="20"/>
                <w:szCs w:val="20"/>
                <w:lang w:eastAsia="es-MX"/>
              </w:rPr>
              <w:t>Jalisco</w:t>
            </w:r>
          </w:p>
        </w:tc>
        <w:tc>
          <w:tcPr>
            <w:tcW w:w="1200" w:type="dxa"/>
            <w:tcBorders>
              <w:top w:val="nil"/>
              <w:left w:val="nil"/>
              <w:bottom w:val="single" w:sz="4" w:space="0" w:color="auto"/>
              <w:right w:val="single" w:sz="4" w:space="0" w:color="auto"/>
            </w:tcBorders>
            <w:shd w:val="clear" w:color="auto" w:fill="auto"/>
            <w:noWrap/>
            <w:vAlign w:val="bottom"/>
            <w:hideMark/>
          </w:tcPr>
          <w:p w14:paraId="017139BD"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7.81%</w:t>
            </w:r>
          </w:p>
        </w:tc>
        <w:tc>
          <w:tcPr>
            <w:tcW w:w="1286" w:type="dxa"/>
            <w:tcBorders>
              <w:top w:val="nil"/>
              <w:left w:val="nil"/>
              <w:bottom w:val="single" w:sz="4" w:space="0" w:color="auto"/>
              <w:right w:val="single" w:sz="4" w:space="0" w:color="auto"/>
            </w:tcBorders>
            <w:shd w:val="clear" w:color="auto" w:fill="auto"/>
            <w:noWrap/>
            <w:vAlign w:val="bottom"/>
            <w:hideMark/>
          </w:tcPr>
          <w:p w14:paraId="6FC0C00B"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1352</w:t>
            </w:r>
          </w:p>
        </w:tc>
        <w:tc>
          <w:tcPr>
            <w:tcW w:w="1200" w:type="dxa"/>
            <w:tcBorders>
              <w:top w:val="nil"/>
              <w:left w:val="nil"/>
              <w:bottom w:val="single" w:sz="4" w:space="0" w:color="auto"/>
              <w:right w:val="single" w:sz="4" w:space="0" w:color="auto"/>
            </w:tcBorders>
            <w:shd w:val="clear" w:color="auto" w:fill="auto"/>
            <w:noWrap/>
            <w:vAlign w:val="bottom"/>
            <w:hideMark/>
          </w:tcPr>
          <w:p w14:paraId="509446EB"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73.44</w:t>
            </w:r>
          </w:p>
        </w:tc>
        <w:tc>
          <w:tcPr>
            <w:tcW w:w="1418" w:type="dxa"/>
            <w:tcBorders>
              <w:top w:val="nil"/>
              <w:left w:val="nil"/>
              <w:bottom w:val="single" w:sz="4" w:space="0" w:color="auto"/>
              <w:right w:val="single" w:sz="4" w:space="0" w:color="auto"/>
            </w:tcBorders>
            <w:shd w:val="clear" w:color="auto" w:fill="auto"/>
            <w:noWrap/>
            <w:vAlign w:val="bottom"/>
            <w:hideMark/>
          </w:tcPr>
          <w:p w14:paraId="637175C4"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7.33</w:t>
            </w:r>
          </w:p>
        </w:tc>
        <w:tc>
          <w:tcPr>
            <w:tcW w:w="1200" w:type="dxa"/>
            <w:tcBorders>
              <w:top w:val="nil"/>
              <w:left w:val="nil"/>
              <w:bottom w:val="single" w:sz="4" w:space="0" w:color="auto"/>
              <w:right w:val="single" w:sz="4" w:space="0" w:color="auto"/>
            </w:tcBorders>
            <w:shd w:val="clear" w:color="auto" w:fill="auto"/>
            <w:noWrap/>
            <w:vAlign w:val="bottom"/>
            <w:hideMark/>
          </w:tcPr>
          <w:p w14:paraId="12BFDC96"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120.43</w:t>
            </w:r>
          </w:p>
        </w:tc>
      </w:tr>
      <w:tr w:rsidR="000F6F1D" w:rsidRPr="00412011" w14:paraId="5FB4DE24" w14:textId="77777777" w:rsidTr="000F6F1D">
        <w:trPr>
          <w:trHeight w:val="300"/>
          <w:jc w:val="center"/>
        </w:trPr>
        <w:tc>
          <w:tcPr>
            <w:tcW w:w="1600" w:type="dxa"/>
            <w:tcBorders>
              <w:top w:val="nil"/>
              <w:left w:val="single" w:sz="4" w:space="0" w:color="auto"/>
              <w:bottom w:val="single" w:sz="4" w:space="0" w:color="auto"/>
              <w:right w:val="single" w:sz="4" w:space="0" w:color="auto"/>
            </w:tcBorders>
            <w:shd w:val="clear" w:color="auto" w:fill="auto"/>
            <w:noWrap/>
            <w:vAlign w:val="bottom"/>
            <w:hideMark/>
          </w:tcPr>
          <w:p w14:paraId="34B96E1B" w14:textId="77777777" w:rsidR="000F6F1D" w:rsidRPr="00412011" w:rsidRDefault="000F6F1D" w:rsidP="000F6F1D">
            <w:pPr>
              <w:spacing w:after="0" w:line="240" w:lineRule="auto"/>
              <w:rPr>
                <w:rFonts w:ascii="Arial" w:eastAsia="Times New Roman" w:hAnsi="Arial" w:cs="Arial"/>
                <w:color w:val="000000"/>
                <w:sz w:val="20"/>
                <w:szCs w:val="20"/>
                <w:lang w:eastAsia="es-MX"/>
              </w:rPr>
            </w:pPr>
            <w:r w:rsidRPr="00412011">
              <w:rPr>
                <w:rFonts w:ascii="Arial" w:eastAsia="Times New Roman" w:hAnsi="Arial" w:cs="Arial"/>
                <w:color w:val="000000"/>
                <w:sz w:val="20"/>
                <w:szCs w:val="20"/>
                <w:lang w:eastAsia="es-MX"/>
              </w:rPr>
              <w:t>México</w:t>
            </w:r>
          </w:p>
        </w:tc>
        <w:tc>
          <w:tcPr>
            <w:tcW w:w="1200" w:type="dxa"/>
            <w:tcBorders>
              <w:top w:val="nil"/>
              <w:left w:val="nil"/>
              <w:bottom w:val="single" w:sz="4" w:space="0" w:color="auto"/>
              <w:right w:val="single" w:sz="4" w:space="0" w:color="auto"/>
            </w:tcBorders>
            <w:shd w:val="clear" w:color="auto" w:fill="auto"/>
            <w:noWrap/>
            <w:vAlign w:val="bottom"/>
            <w:hideMark/>
          </w:tcPr>
          <w:p w14:paraId="48C1E34A"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14.53%</w:t>
            </w:r>
          </w:p>
        </w:tc>
        <w:tc>
          <w:tcPr>
            <w:tcW w:w="1286" w:type="dxa"/>
            <w:tcBorders>
              <w:top w:val="nil"/>
              <w:left w:val="nil"/>
              <w:bottom w:val="single" w:sz="4" w:space="0" w:color="auto"/>
              <w:right w:val="single" w:sz="4" w:space="0" w:color="auto"/>
            </w:tcBorders>
            <w:shd w:val="clear" w:color="auto" w:fill="auto"/>
            <w:noWrap/>
            <w:vAlign w:val="bottom"/>
            <w:hideMark/>
          </w:tcPr>
          <w:p w14:paraId="513973C9"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2008</w:t>
            </w:r>
          </w:p>
        </w:tc>
        <w:tc>
          <w:tcPr>
            <w:tcW w:w="1200" w:type="dxa"/>
            <w:tcBorders>
              <w:top w:val="nil"/>
              <w:left w:val="nil"/>
              <w:bottom w:val="single" w:sz="4" w:space="0" w:color="auto"/>
              <w:right w:val="single" w:sz="4" w:space="0" w:color="auto"/>
            </w:tcBorders>
            <w:shd w:val="clear" w:color="auto" w:fill="auto"/>
            <w:noWrap/>
            <w:vAlign w:val="bottom"/>
            <w:hideMark/>
          </w:tcPr>
          <w:p w14:paraId="241BC10F"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57.01</w:t>
            </w:r>
          </w:p>
        </w:tc>
        <w:tc>
          <w:tcPr>
            <w:tcW w:w="1418" w:type="dxa"/>
            <w:tcBorders>
              <w:top w:val="nil"/>
              <w:left w:val="nil"/>
              <w:bottom w:val="single" w:sz="4" w:space="0" w:color="auto"/>
              <w:right w:val="single" w:sz="4" w:space="0" w:color="auto"/>
            </w:tcBorders>
            <w:shd w:val="clear" w:color="auto" w:fill="auto"/>
            <w:noWrap/>
            <w:vAlign w:val="bottom"/>
            <w:hideMark/>
          </w:tcPr>
          <w:p w14:paraId="57CA2A86"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6.15</w:t>
            </w:r>
          </w:p>
        </w:tc>
        <w:tc>
          <w:tcPr>
            <w:tcW w:w="1200" w:type="dxa"/>
            <w:tcBorders>
              <w:top w:val="nil"/>
              <w:left w:val="nil"/>
              <w:bottom w:val="single" w:sz="4" w:space="0" w:color="auto"/>
              <w:right w:val="single" w:sz="4" w:space="0" w:color="auto"/>
            </w:tcBorders>
            <w:shd w:val="clear" w:color="auto" w:fill="auto"/>
            <w:noWrap/>
            <w:vAlign w:val="bottom"/>
            <w:hideMark/>
          </w:tcPr>
          <w:p w14:paraId="01CE3ADD"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198.35</w:t>
            </w:r>
          </w:p>
        </w:tc>
      </w:tr>
      <w:tr w:rsidR="000F6F1D" w:rsidRPr="00412011" w14:paraId="65E3E635" w14:textId="77777777" w:rsidTr="000F6F1D">
        <w:trPr>
          <w:trHeight w:val="300"/>
          <w:jc w:val="center"/>
        </w:trPr>
        <w:tc>
          <w:tcPr>
            <w:tcW w:w="1600" w:type="dxa"/>
            <w:tcBorders>
              <w:top w:val="nil"/>
              <w:left w:val="single" w:sz="4" w:space="0" w:color="auto"/>
              <w:bottom w:val="single" w:sz="4" w:space="0" w:color="auto"/>
              <w:right w:val="single" w:sz="4" w:space="0" w:color="auto"/>
            </w:tcBorders>
            <w:shd w:val="clear" w:color="auto" w:fill="auto"/>
            <w:noWrap/>
            <w:vAlign w:val="bottom"/>
            <w:hideMark/>
          </w:tcPr>
          <w:p w14:paraId="38BAEB37" w14:textId="77777777" w:rsidR="000F6F1D" w:rsidRPr="00412011" w:rsidRDefault="000F6F1D" w:rsidP="000F6F1D">
            <w:pPr>
              <w:spacing w:after="0" w:line="240" w:lineRule="auto"/>
              <w:rPr>
                <w:rFonts w:ascii="Arial" w:eastAsia="Times New Roman" w:hAnsi="Arial" w:cs="Arial"/>
                <w:color w:val="000000"/>
                <w:sz w:val="20"/>
                <w:szCs w:val="20"/>
                <w:lang w:eastAsia="es-MX"/>
              </w:rPr>
            </w:pPr>
            <w:r w:rsidRPr="00412011">
              <w:rPr>
                <w:rFonts w:ascii="Arial" w:eastAsia="Times New Roman" w:hAnsi="Arial" w:cs="Arial"/>
                <w:color w:val="000000"/>
                <w:sz w:val="20"/>
                <w:szCs w:val="20"/>
                <w:lang w:eastAsia="es-MX"/>
              </w:rPr>
              <w:t>Michoacán</w:t>
            </w:r>
          </w:p>
        </w:tc>
        <w:tc>
          <w:tcPr>
            <w:tcW w:w="1200" w:type="dxa"/>
            <w:tcBorders>
              <w:top w:val="nil"/>
              <w:left w:val="nil"/>
              <w:bottom w:val="single" w:sz="4" w:space="0" w:color="auto"/>
              <w:right w:val="single" w:sz="4" w:space="0" w:color="auto"/>
            </w:tcBorders>
            <w:shd w:val="clear" w:color="auto" w:fill="auto"/>
            <w:noWrap/>
            <w:vAlign w:val="bottom"/>
            <w:hideMark/>
          </w:tcPr>
          <w:p w14:paraId="75DE692E"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4.15%</w:t>
            </w:r>
          </w:p>
        </w:tc>
        <w:tc>
          <w:tcPr>
            <w:tcW w:w="1286" w:type="dxa"/>
            <w:tcBorders>
              <w:top w:val="nil"/>
              <w:left w:val="nil"/>
              <w:bottom w:val="single" w:sz="4" w:space="0" w:color="auto"/>
              <w:right w:val="single" w:sz="4" w:space="0" w:color="auto"/>
            </w:tcBorders>
            <w:shd w:val="clear" w:color="auto" w:fill="auto"/>
            <w:noWrap/>
            <w:vAlign w:val="bottom"/>
            <w:hideMark/>
          </w:tcPr>
          <w:p w14:paraId="7075FF7F"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1623</w:t>
            </w:r>
          </w:p>
        </w:tc>
        <w:tc>
          <w:tcPr>
            <w:tcW w:w="1200" w:type="dxa"/>
            <w:tcBorders>
              <w:top w:val="nil"/>
              <w:left w:val="nil"/>
              <w:bottom w:val="single" w:sz="4" w:space="0" w:color="auto"/>
              <w:right w:val="single" w:sz="4" w:space="0" w:color="auto"/>
            </w:tcBorders>
            <w:shd w:val="clear" w:color="auto" w:fill="auto"/>
            <w:noWrap/>
            <w:vAlign w:val="bottom"/>
            <w:hideMark/>
          </w:tcPr>
          <w:p w14:paraId="79D799A7"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116.17</w:t>
            </w:r>
          </w:p>
        </w:tc>
        <w:tc>
          <w:tcPr>
            <w:tcW w:w="1418" w:type="dxa"/>
            <w:tcBorders>
              <w:top w:val="nil"/>
              <w:left w:val="nil"/>
              <w:bottom w:val="single" w:sz="4" w:space="0" w:color="auto"/>
              <w:right w:val="single" w:sz="4" w:space="0" w:color="auto"/>
            </w:tcBorders>
            <w:shd w:val="clear" w:color="auto" w:fill="auto"/>
            <w:noWrap/>
            <w:vAlign w:val="bottom"/>
            <w:hideMark/>
          </w:tcPr>
          <w:p w14:paraId="5F2E98DF"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3.67</w:t>
            </w:r>
          </w:p>
        </w:tc>
        <w:tc>
          <w:tcPr>
            <w:tcW w:w="1200" w:type="dxa"/>
            <w:tcBorders>
              <w:top w:val="nil"/>
              <w:left w:val="nil"/>
              <w:bottom w:val="single" w:sz="4" w:space="0" w:color="auto"/>
              <w:right w:val="single" w:sz="4" w:space="0" w:color="auto"/>
            </w:tcBorders>
            <w:shd w:val="clear" w:color="auto" w:fill="auto"/>
            <w:noWrap/>
            <w:vAlign w:val="bottom"/>
            <w:hideMark/>
          </w:tcPr>
          <w:p w14:paraId="19AB90EF"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181.07</w:t>
            </w:r>
          </w:p>
        </w:tc>
      </w:tr>
      <w:tr w:rsidR="000F6F1D" w:rsidRPr="00412011" w14:paraId="6FD39F46" w14:textId="77777777" w:rsidTr="000F6F1D">
        <w:trPr>
          <w:trHeight w:val="300"/>
          <w:jc w:val="center"/>
        </w:trPr>
        <w:tc>
          <w:tcPr>
            <w:tcW w:w="1600" w:type="dxa"/>
            <w:tcBorders>
              <w:top w:val="nil"/>
              <w:left w:val="single" w:sz="4" w:space="0" w:color="auto"/>
              <w:bottom w:val="single" w:sz="4" w:space="0" w:color="auto"/>
              <w:right w:val="single" w:sz="4" w:space="0" w:color="auto"/>
            </w:tcBorders>
            <w:shd w:val="clear" w:color="auto" w:fill="auto"/>
            <w:noWrap/>
            <w:vAlign w:val="bottom"/>
            <w:hideMark/>
          </w:tcPr>
          <w:p w14:paraId="730360BC" w14:textId="77777777" w:rsidR="000F6F1D" w:rsidRPr="00412011" w:rsidRDefault="000F6F1D" w:rsidP="000F6F1D">
            <w:pPr>
              <w:spacing w:after="0" w:line="240" w:lineRule="auto"/>
              <w:rPr>
                <w:rFonts w:ascii="Arial" w:eastAsia="Times New Roman" w:hAnsi="Arial" w:cs="Arial"/>
                <w:color w:val="000000"/>
                <w:sz w:val="20"/>
                <w:szCs w:val="20"/>
                <w:lang w:eastAsia="es-MX"/>
              </w:rPr>
            </w:pPr>
            <w:r w:rsidRPr="00412011">
              <w:rPr>
                <w:rFonts w:ascii="Arial" w:eastAsia="Times New Roman" w:hAnsi="Arial" w:cs="Arial"/>
                <w:color w:val="000000"/>
                <w:sz w:val="20"/>
                <w:szCs w:val="20"/>
                <w:lang w:eastAsia="es-MX"/>
              </w:rPr>
              <w:t>Morelos</w:t>
            </w:r>
          </w:p>
        </w:tc>
        <w:tc>
          <w:tcPr>
            <w:tcW w:w="1200" w:type="dxa"/>
            <w:tcBorders>
              <w:top w:val="nil"/>
              <w:left w:val="nil"/>
              <w:bottom w:val="single" w:sz="4" w:space="0" w:color="auto"/>
              <w:right w:val="single" w:sz="4" w:space="0" w:color="auto"/>
            </w:tcBorders>
            <w:shd w:val="clear" w:color="auto" w:fill="auto"/>
            <w:noWrap/>
            <w:vAlign w:val="bottom"/>
            <w:hideMark/>
          </w:tcPr>
          <w:p w14:paraId="63A2F233"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1.53%</w:t>
            </w:r>
          </w:p>
        </w:tc>
        <w:tc>
          <w:tcPr>
            <w:tcW w:w="1286" w:type="dxa"/>
            <w:tcBorders>
              <w:top w:val="nil"/>
              <w:left w:val="nil"/>
              <w:bottom w:val="single" w:sz="4" w:space="0" w:color="auto"/>
              <w:right w:val="single" w:sz="4" w:space="0" w:color="auto"/>
            </w:tcBorders>
            <w:shd w:val="clear" w:color="auto" w:fill="auto"/>
            <w:noWrap/>
            <w:vAlign w:val="bottom"/>
            <w:hideMark/>
          </w:tcPr>
          <w:p w14:paraId="7D326990"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376</w:t>
            </w:r>
          </w:p>
        </w:tc>
        <w:tc>
          <w:tcPr>
            <w:tcW w:w="1200" w:type="dxa"/>
            <w:tcBorders>
              <w:top w:val="nil"/>
              <w:left w:val="nil"/>
              <w:bottom w:val="single" w:sz="4" w:space="0" w:color="auto"/>
              <w:right w:val="single" w:sz="4" w:space="0" w:color="auto"/>
            </w:tcBorders>
            <w:shd w:val="clear" w:color="auto" w:fill="auto"/>
            <w:noWrap/>
            <w:vAlign w:val="bottom"/>
            <w:hideMark/>
          </w:tcPr>
          <w:p w14:paraId="1208ADC1"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89.58</w:t>
            </w:r>
          </w:p>
        </w:tc>
        <w:tc>
          <w:tcPr>
            <w:tcW w:w="1418" w:type="dxa"/>
            <w:tcBorders>
              <w:top w:val="nil"/>
              <w:left w:val="nil"/>
              <w:bottom w:val="single" w:sz="4" w:space="0" w:color="auto"/>
              <w:right w:val="single" w:sz="4" w:space="0" w:color="auto"/>
            </w:tcBorders>
            <w:shd w:val="clear" w:color="auto" w:fill="auto"/>
            <w:noWrap/>
            <w:vAlign w:val="bottom"/>
            <w:hideMark/>
          </w:tcPr>
          <w:p w14:paraId="71FE8314"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6.73</w:t>
            </w:r>
          </w:p>
        </w:tc>
        <w:tc>
          <w:tcPr>
            <w:tcW w:w="1200" w:type="dxa"/>
            <w:tcBorders>
              <w:top w:val="nil"/>
              <w:left w:val="nil"/>
              <w:bottom w:val="single" w:sz="4" w:space="0" w:color="auto"/>
              <w:right w:val="single" w:sz="4" w:space="0" w:color="auto"/>
            </w:tcBorders>
            <w:shd w:val="clear" w:color="auto" w:fill="auto"/>
            <w:noWrap/>
            <w:vAlign w:val="bottom"/>
            <w:hideMark/>
          </w:tcPr>
          <w:p w14:paraId="4BF7786C"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185.77</w:t>
            </w:r>
          </w:p>
        </w:tc>
      </w:tr>
      <w:tr w:rsidR="000F6F1D" w:rsidRPr="00412011" w14:paraId="70D5909F" w14:textId="77777777" w:rsidTr="000F6F1D">
        <w:trPr>
          <w:trHeight w:val="300"/>
          <w:jc w:val="center"/>
        </w:trPr>
        <w:tc>
          <w:tcPr>
            <w:tcW w:w="1600" w:type="dxa"/>
            <w:tcBorders>
              <w:top w:val="nil"/>
              <w:left w:val="single" w:sz="4" w:space="0" w:color="auto"/>
              <w:bottom w:val="single" w:sz="4" w:space="0" w:color="auto"/>
              <w:right w:val="single" w:sz="4" w:space="0" w:color="auto"/>
            </w:tcBorders>
            <w:shd w:val="clear" w:color="auto" w:fill="auto"/>
            <w:noWrap/>
            <w:vAlign w:val="bottom"/>
            <w:hideMark/>
          </w:tcPr>
          <w:p w14:paraId="24922AAE" w14:textId="77777777" w:rsidR="000F6F1D" w:rsidRPr="00412011" w:rsidRDefault="000F6F1D" w:rsidP="000F6F1D">
            <w:pPr>
              <w:spacing w:after="0" w:line="240" w:lineRule="auto"/>
              <w:rPr>
                <w:rFonts w:ascii="Arial" w:eastAsia="Times New Roman" w:hAnsi="Arial" w:cs="Arial"/>
                <w:color w:val="000000"/>
                <w:sz w:val="20"/>
                <w:szCs w:val="20"/>
                <w:lang w:eastAsia="es-MX"/>
              </w:rPr>
            </w:pPr>
            <w:r w:rsidRPr="00412011">
              <w:rPr>
                <w:rFonts w:ascii="Arial" w:eastAsia="Times New Roman" w:hAnsi="Arial" w:cs="Arial"/>
                <w:color w:val="000000"/>
                <w:sz w:val="20"/>
                <w:szCs w:val="20"/>
                <w:lang w:eastAsia="es-MX"/>
              </w:rPr>
              <w:t>Nayarit</w:t>
            </w:r>
          </w:p>
        </w:tc>
        <w:tc>
          <w:tcPr>
            <w:tcW w:w="1200" w:type="dxa"/>
            <w:tcBorders>
              <w:top w:val="nil"/>
              <w:left w:val="nil"/>
              <w:bottom w:val="single" w:sz="4" w:space="0" w:color="auto"/>
              <w:right w:val="single" w:sz="4" w:space="0" w:color="auto"/>
            </w:tcBorders>
            <w:shd w:val="clear" w:color="auto" w:fill="auto"/>
            <w:noWrap/>
            <w:vAlign w:val="bottom"/>
            <w:hideMark/>
          </w:tcPr>
          <w:p w14:paraId="167C1E92"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0.36%</w:t>
            </w:r>
          </w:p>
        </w:tc>
        <w:tc>
          <w:tcPr>
            <w:tcW w:w="1286" w:type="dxa"/>
            <w:tcBorders>
              <w:top w:val="nil"/>
              <w:left w:val="nil"/>
              <w:bottom w:val="single" w:sz="4" w:space="0" w:color="auto"/>
              <w:right w:val="single" w:sz="4" w:space="0" w:color="auto"/>
            </w:tcBorders>
            <w:shd w:val="clear" w:color="auto" w:fill="auto"/>
            <w:noWrap/>
            <w:vAlign w:val="bottom"/>
            <w:hideMark/>
          </w:tcPr>
          <w:p w14:paraId="32AD73D9"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593</w:t>
            </w:r>
          </w:p>
        </w:tc>
        <w:tc>
          <w:tcPr>
            <w:tcW w:w="1200" w:type="dxa"/>
            <w:tcBorders>
              <w:top w:val="nil"/>
              <w:left w:val="nil"/>
              <w:bottom w:val="single" w:sz="4" w:space="0" w:color="auto"/>
              <w:right w:val="single" w:sz="4" w:space="0" w:color="auto"/>
            </w:tcBorders>
            <w:shd w:val="clear" w:color="auto" w:fill="auto"/>
            <w:noWrap/>
            <w:vAlign w:val="bottom"/>
            <w:hideMark/>
          </w:tcPr>
          <w:p w14:paraId="43421723"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185.63</w:t>
            </w:r>
          </w:p>
        </w:tc>
        <w:tc>
          <w:tcPr>
            <w:tcW w:w="1418" w:type="dxa"/>
            <w:tcBorders>
              <w:top w:val="nil"/>
              <w:left w:val="nil"/>
              <w:bottom w:val="single" w:sz="4" w:space="0" w:color="auto"/>
              <w:right w:val="single" w:sz="4" w:space="0" w:color="auto"/>
            </w:tcBorders>
            <w:shd w:val="clear" w:color="auto" w:fill="auto"/>
            <w:noWrap/>
            <w:vAlign w:val="bottom"/>
            <w:hideMark/>
          </w:tcPr>
          <w:p w14:paraId="597E623F"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3.89</w:t>
            </w:r>
          </w:p>
        </w:tc>
        <w:tc>
          <w:tcPr>
            <w:tcW w:w="1200" w:type="dxa"/>
            <w:tcBorders>
              <w:top w:val="nil"/>
              <w:left w:val="nil"/>
              <w:bottom w:val="single" w:sz="4" w:space="0" w:color="auto"/>
              <w:right w:val="single" w:sz="4" w:space="0" w:color="auto"/>
            </w:tcBorders>
            <w:shd w:val="clear" w:color="auto" w:fill="auto"/>
            <w:noWrap/>
            <w:vAlign w:val="bottom"/>
            <w:hideMark/>
          </w:tcPr>
          <w:p w14:paraId="608BDE21"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191.59</w:t>
            </w:r>
          </w:p>
        </w:tc>
      </w:tr>
      <w:tr w:rsidR="000F6F1D" w:rsidRPr="00412011" w14:paraId="2223D21A" w14:textId="77777777" w:rsidTr="000F6F1D">
        <w:trPr>
          <w:trHeight w:val="300"/>
          <w:jc w:val="center"/>
        </w:trPr>
        <w:tc>
          <w:tcPr>
            <w:tcW w:w="1600" w:type="dxa"/>
            <w:tcBorders>
              <w:top w:val="nil"/>
              <w:left w:val="single" w:sz="4" w:space="0" w:color="auto"/>
              <w:bottom w:val="single" w:sz="4" w:space="0" w:color="auto"/>
              <w:right w:val="single" w:sz="4" w:space="0" w:color="auto"/>
            </w:tcBorders>
            <w:shd w:val="clear" w:color="auto" w:fill="auto"/>
            <w:noWrap/>
            <w:vAlign w:val="bottom"/>
            <w:hideMark/>
          </w:tcPr>
          <w:p w14:paraId="4C1A0E89" w14:textId="77777777" w:rsidR="000F6F1D" w:rsidRPr="00412011" w:rsidRDefault="000F6F1D" w:rsidP="000F6F1D">
            <w:pPr>
              <w:spacing w:after="0" w:line="240" w:lineRule="auto"/>
              <w:rPr>
                <w:rFonts w:ascii="Arial" w:eastAsia="Times New Roman" w:hAnsi="Arial" w:cs="Arial"/>
                <w:color w:val="000000"/>
                <w:sz w:val="20"/>
                <w:szCs w:val="20"/>
                <w:lang w:eastAsia="es-MX"/>
              </w:rPr>
            </w:pPr>
            <w:r w:rsidRPr="00412011">
              <w:rPr>
                <w:rFonts w:ascii="Arial" w:eastAsia="Times New Roman" w:hAnsi="Arial" w:cs="Arial"/>
                <w:color w:val="000000"/>
                <w:sz w:val="20"/>
                <w:szCs w:val="20"/>
                <w:lang w:eastAsia="es-MX"/>
              </w:rPr>
              <w:t>Nuevo León</w:t>
            </w:r>
          </w:p>
        </w:tc>
        <w:tc>
          <w:tcPr>
            <w:tcW w:w="1200" w:type="dxa"/>
            <w:tcBorders>
              <w:top w:val="nil"/>
              <w:left w:val="nil"/>
              <w:bottom w:val="single" w:sz="4" w:space="0" w:color="auto"/>
              <w:right w:val="single" w:sz="4" w:space="0" w:color="auto"/>
            </w:tcBorders>
            <w:shd w:val="clear" w:color="auto" w:fill="auto"/>
            <w:noWrap/>
            <w:vAlign w:val="bottom"/>
            <w:hideMark/>
          </w:tcPr>
          <w:p w14:paraId="1EAC7177"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2.30%</w:t>
            </w:r>
          </w:p>
        </w:tc>
        <w:tc>
          <w:tcPr>
            <w:tcW w:w="1286" w:type="dxa"/>
            <w:tcBorders>
              <w:top w:val="nil"/>
              <w:left w:val="nil"/>
              <w:bottom w:val="single" w:sz="4" w:space="0" w:color="auto"/>
              <w:right w:val="single" w:sz="4" w:space="0" w:color="auto"/>
            </w:tcBorders>
            <w:shd w:val="clear" w:color="auto" w:fill="auto"/>
            <w:noWrap/>
            <w:vAlign w:val="bottom"/>
            <w:hideMark/>
          </w:tcPr>
          <w:p w14:paraId="5889B7F2"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715</w:t>
            </w:r>
          </w:p>
        </w:tc>
        <w:tc>
          <w:tcPr>
            <w:tcW w:w="1200" w:type="dxa"/>
            <w:tcBorders>
              <w:top w:val="nil"/>
              <w:left w:val="nil"/>
              <w:bottom w:val="single" w:sz="4" w:space="0" w:color="auto"/>
              <w:right w:val="single" w:sz="4" w:space="0" w:color="auto"/>
            </w:tcBorders>
            <w:shd w:val="clear" w:color="auto" w:fill="auto"/>
            <w:noWrap/>
            <w:vAlign w:val="bottom"/>
            <w:hideMark/>
          </w:tcPr>
          <w:p w14:paraId="3662B753"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65.70</w:t>
            </w:r>
          </w:p>
        </w:tc>
        <w:tc>
          <w:tcPr>
            <w:tcW w:w="1418" w:type="dxa"/>
            <w:tcBorders>
              <w:top w:val="nil"/>
              <w:left w:val="nil"/>
              <w:bottom w:val="single" w:sz="4" w:space="0" w:color="auto"/>
              <w:right w:val="single" w:sz="4" w:space="0" w:color="auto"/>
            </w:tcBorders>
            <w:shd w:val="clear" w:color="auto" w:fill="auto"/>
            <w:noWrap/>
            <w:vAlign w:val="bottom"/>
            <w:hideMark/>
          </w:tcPr>
          <w:p w14:paraId="041FC106"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18.46</w:t>
            </w:r>
          </w:p>
        </w:tc>
        <w:tc>
          <w:tcPr>
            <w:tcW w:w="1200" w:type="dxa"/>
            <w:tcBorders>
              <w:top w:val="nil"/>
              <w:left w:val="nil"/>
              <w:bottom w:val="single" w:sz="4" w:space="0" w:color="auto"/>
              <w:right w:val="single" w:sz="4" w:space="0" w:color="auto"/>
            </w:tcBorders>
            <w:shd w:val="clear" w:color="auto" w:fill="auto"/>
            <w:noWrap/>
            <w:vAlign w:val="bottom"/>
            <w:hideMark/>
          </w:tcPr>
          <w:p w14:paraId="513CBCCC"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198.72</w:t>
            </w:r>
          </w:p>
        </w:tc>
      </w:tr>
      <w:tr w:rsidR="000F6F1D" w:rsidRPr="00412011" w14:paraId="6580FF80" w14:textId="77777777" w:rsidTr="000F6F1D">
        <w:trPr>
          <w:trHeight w:val="300"/>
          <w:jc w:val="center"/>
        </w:trPr>
        <w:tc>
          <w:tcPr>
            <w:tcW w:w="1600" w:type="dxa"/>
            <w:tcBorders>
              <w:top w:val="nil"/>
              <w:left w:val="single" w:sz="4" w:space="0" w:color="auto"/>
              <w:bottom w:val="single" w:sz="4" w:space="0" w:color="auto"/>
              <w:right w:val="single" w:sz="4" w:space="0" w:color="auto"/>
            </w:tcBorders>
            <w:shd w:val="clear" w:color="auto" w:fill="auto"/>
            <w:noWrap/>
            <w:vAlign w:val="bottom"/>
            <w:hideMark/>
          </w:tcPr>
          <w:p w14:paraId="533FE9D0" w14:textId="77777777" w:rsidR="000F6F1D" w:rsidRPr="00412011" w:rsidRDefault="000F6F1D" w:rsidP="000F6F1D">
            <w:pPr>
              <w:spacing w:after="0" w:line="240" w:lineRule="auto"/>
              <w:rPr>
                <w:rFonts w:ascii="Arial" w:eastAsia="Times New Roman" w:hAnsi="Arial" w:cs="Arial"/>
                <w:color w:val="000000"/>
                <w:sz w:val="20"/>
                <w:szCs w:val="20"/>
                <w:lang w:eastAsia="es-MX"/>
              </w:rPr>
            </w:pPr>
            <w:r w:rsidRPr="00412011">
              <w:rPr>
                <w:rFonts w:ascii="Arial" w:eastAsia="Times New Roman" w:hAnsi="Arial" w:cs="Arial"/>
                <w:color w:val="000000"/>
                <w:sz w:val="20"/>
                <w:szCs w:val="20"/>
                <w:lang w:eastAsia="es-MX"/>
              </w:rPr>
              <w:t>Oaxaca</w:t>
            </w:r>
          </w:p>
        </w:tc>
        <w:tc>
          <w:tcPr>
            <w:tcW w:w="1200" w:type="dxa"/>
            <w:tcBorders>
              <w:top w:val="nil"/>
              <w:left w:val="nil"/>
              <w:bottom w:val="single" w:sz="4" w:space="0" w:color="auto"/>
              <w:right w:val="single" w:sz="4" w:space="0" w:color="auto"/>
            </w:tcBorders>
            <w:shd w:val="clear" w:color="auto" w:fill="auto"/>
            <w:noWrap/>
            <w:vAlign w:val="bottom"/>
            <w:hideMark/>
          </w:tcPr>
          <w:p w14:paraId="55F9BD82"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2.56%</w:t>
            </w:r>
          </w:p>
        </w:tc>
        <w:tc>
          <w:tcPr>
            <w:tcW w:w="1286" w:type="dxa"/>
            <w:tcBorders>
              <w:top w:val="nil"/>
              <w:left w:val="nil"/>
              <w:bottom w:val="single" w:sz="4" w:space="0" w:color="auto"/>
              <w:right w:val="single" w:sz="4" w:space="0" w:color="auto"/>
            </w:tcBorders>
            <w:shd w:val="clear" w:color="auto" w:fill="auto"/>
            <w:noWrap/>
            <w:vAlign w:val="bottom"/>
            <w:hideMark/>
          </w:tcPr>
          <w:p w14:paraId="68E8021C"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2258</w:t>
            </w:r>
          </w:p>
        </w:tc>
        <w:tc>
          <w:tcPr>
            <w:tcW w:w="1200" w:type="dxa"/>
            <w:tcBorders>
              <w:top w:val="nil"/>
              <w:left w:val="nil"/>
              <w:bottom w:val="single" w:sz="4" w:space="0" w:color="auto"/>
              <w:right w:val="single" w:sz="4" w:space="0" w:color="auto"/>
            </w:tcBorders>
            <w:shd w:val="clear" w:color="auto" w:fill="auto"/>
            <w:noWrap/>
            <w:vAlign w:val="bottom"/>
            <w:hideMark/>
          </w:tcPr>
          <w:p w14:paraId="27A5DCDE"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210.22</w:t>
            </w:r>
          </w:p>
        </w:tc>
        <w:tc>
          <w:tcPr>
            <w:tcW w:w="1418" w:type="dxa"/>
            <w:tcBorders>
              <w:top w:val="nil"/>
              <w:left w:val="nil"/>
              <w:bottom w:val="single" w:sz="4" w:space="0" w:color="auto"/>
              <w:right w:val="single" w:sz="4" w:space="0" w:color="auto"/>
            </w:tcBorders>
            <w:shd w:val="clear" w:color="auto" w:fill="auto"/>
            <w:noWrap/>
            <w:vAlign w:val="bottom"/>
            <w:hideMark/>
          </w:tcPr>
          <w:p w14:paraId="2116EB52"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2.11</w:t>
            </w:r>
          </w:p>
        </w:tc>
        <w:tc>
          <w:tcPr>
            <w:tcW w:w="1200" w:type="dxa"/>
            <w:tcBorders>
              <w:top w:val="nil"/>
              <w:left w:val="nil"/>
              <w:bottom w:val="single" w:sz="4" w:space="0" w:color="auto"/>
              <w:right w:val="single" w:sz="4" w:space="0" w:color="auto"/>
            </w:tcBorders>
            <w:shd w:val="clear" w:color="auto" w:fill="auto"/>
            <w:noWrap/>
            <w:vAlign w:val="bottom"/>
            <w:hideMark/>
          </w:tcPr>
          <w:p w14:paraId="074E64E3"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178.80</w:t>
            </w:r>
          </w:p>
        </w:tc>
      </w:tr>
      <w:tr w:rsidR="000F6F1D" w:rsidRPr="00412011" w14:paraId="658B6603" w14:textId="77777777" w:rsidTr="000F6F1D">
        <w:trPr>
          <w:trHeight w:val="300"/>
          <w:jc w:val="center"/>
        </w:trPr>
        <w:tc>
          <w:tcPr>
            <w:tcW w:w="1600" w:type="dxa"/>
            <w:tcBorders>
              <w:top w:val="nil"/>
              <w:left w:val="single" w:sz="4" w:space="0" w:color="auto"/>
              <w:bottom w:val="single" w:sz="4" w:space="0" w:color="auto"/>
              <w:right w:val="single" w:sz="4" w:space="0" w:color="auto"/>
            </w:tcBorders>
            <w:shd w:val="clear" w:color="auto" w:fill="auto"/>
            <w:noWrap/>
            <w:vAlign w:val="bottom"/>
            <w:hideMark/>
          </w:tcPr>
          <w:p w14:paraId="20D6C3B1" w14:textId="77777777" w:rsidR="000F6F1D" w:rsidRPr="00412011" w:rsidRDefault="000F6F1D" w:rsidP="000F6F1D">
            <w:pPr>
              <w:spacing w:after="0" w:line="240" w:lineRule="auto"/>
              <w:rPr>
                <w:rFonts w:ascii="Arial" w:eastAsia="Times New Roman" w:hAnsi="Arial" w:cs="Arial"/>
                <w:color w:val="000000"/>
                <w:sz w:val="20"/>
                <w:szCs w:val="20"/>
                <w:lang w:eastAsia="es-MX"/>
              </w:rPr>
            </w:pPr>
            <w:r w:rsidRPr="00412011">
              <w:rPr>
                <w:rFonts w:ascii="Arial" w:eastAsia="Times New Roman" w:hAnsi="Arial" w:cs="Arial"/>
                <w:color w:val="000000"/>
                <w:sz w:val="20"/>
                <w:szCs w:val="20"/>
                <w:lang w:eastAsia="es-MX"/>
              </w:rPr>
              <w:t>Puebla</w:t>
            </w:r>
          </w:p>
        </w:tc>
        <w:tc>
          <w:tcPr>
            <w:tcW w:w="1200" w:type="dxa"/>
            <w:tcBorders>
              <w:top w:val="nil"/>
              <w:left w:val="nil"/>
              <w:bottom w:val="single" w:sz="4" w:space="0" w:color="auto"/>
              <w:right w:val="single" w:sz="4" w:space="0" w:color="auto"/>
            </w:tcBorders>
            <w:shd w:val="clear" w:color="auto" w:fill="auto"/>
            <w:noWrap/>
            <w:vAlign w:val="bottom"/>
            <w:hideMark/>
          </w:tcPr>
          <w:p w14:paraId="6A1E303F"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4.34%</w:t>
            </w:r>
          </w:p>
        </w:tc>
        <w:tc>
          <w:tcPr>
            <w:tcW w:w="1286" w:type="dxa"/>
            <w:tcBorders>
              <w:top w:val="nil"/>
              <w:left w:val="nil"/>
              <w:bottom w:val="single" w:sz="4" w:space="0" w:color="auto"/>
              <w:right w:val="single" w:sz="4" w:space="0" w:color="auto"/>
            </w:tcBorders>
            <w:shd w:val="clear" w:color="auto" w:fill="auto"/>
            <w:noWrap/>
            <w:vAlign w:val="bottom"/>
            <w:hideMark/>
          </w:tcPr>
          <w:p w14:paraId="232DBDA6"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1819</w:t>
            </w:r>
          </w:p>
        </w:tc>
        <w:tc>
          <w:tcPr>
            <w:tcW w:w="1200" w:type="dxa"/>
            <w:tcBorders>
              <w:top w:val="nil"/>
              <w:left w:val="nil"/>
              <w:bottom w:val="single" w:sz="4" w:space="0" w:color="auto"/>
              <w:right w:val="single" w:sz="4" w:space="0" w:color="auto"/>
            </w:tcBorders>
            <w:shd w:val="clear" w:color="auto" w:fill="auto"/>
            <w:noWrap/>
            <w:vAlign w:val="bottom"/>
            <w:hideMark/>
          </w:tcPr>
          <w:p w14:paraId="2CD15E33"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103.43</w:t>
            </w:r>
          </w:p>
        </w:tc>
        <w:tc>
          <w:tcPr>
            <w:tcW w:w="1418" w:type="dxa"/>
            <w:tcBorders>
              <w:top w:val="nil"/>
              <w:left w:val="nil"/>
              <w:bottom w:val="single" w:sz="4" w:space="0" w:color="auto"/>
              <w:right w:val="single" w:sz="4" w:space="0" w:color="auto"/>
            </w:tcBorders>
            <w:shd w:val="clear" w:color="auto" w:fill="auto"/>
            <w:noWrap/>
            <w:vAlign w:val="bottom"/>
            <w:hideMark/>
          </w:tcPr>
          <w:p w14:paraId="77179CA5"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5.39</w:t>
            </w:r>
          </w:p>
        </w:tc>
        <w:tc>
          <w:tcPr>
            <w:tcW w:w="1200" w:type="dxa"/>
            <w:tcBorders>
              <w:top w:val="nil"/>
              <w:left w:val="nil"/>
              <w:bottom w:val="single" w:sz="4" w:space="0" w:color="auto"/>
              <w:right w:val="single" w:sz="4" w:space="0" w:color="auto"/>
            </w:tcBorders>
            <w:shd w:val="clear" w:color="auto" w:fill="auto"/>
            <w:noWrap/>
            <w:vAlign w:val="bottom"/>
            <w:hideMark/>
          </w:tcPr>
          <w:p w14:paraId="5FE16924"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180.80</w:t>
            </w:r>
          </w:p>
        </w:tc>
      </w:tr>
      <w:tr w:rsidR="000F6F1D" w:rsidRPr="00412011" w14:paraId="6EB2386B" w14:textId="77777777" w:rsidTr="000F6F1D">
        <w:trPr>
          <w:trHeight w:val="300"/>
          <w:jc w:val="center"/>
        </w:trPr>
        <w:tc>
          <w:tcPr>
            <w:tcW w:w="1600" w:type="dxa"/>
            <w:tcBorders>
              <w:top w:val="nil"/>
              <w:left w:val="single" w:sz="4" w:space="0" w:color="auto"/>
              <w:bottom w:val="single" w:sz="4" w:space="0" w:color="auto"/>
              <w:right w:val="single" w:sz="4" w:space="0" w:color="auto"/>
            </w:tcBorders>
            <w:shd w:val="clear" w:color="auto" w:fill="auto"/>
            <w:noWrap/>
            <w:vAlign w:val="bottom"/>
            <w:hideMark/>
          </w:tcPr>
          <w:p w14:paraId="2FD57C6C" w14:textId="77777777" w:rsidR="000F6F1D" w:rsidRPr="00412011" w:rsidRDefault="000F6F1D" w:rsidP="000F6F1D">
            <w:pPr>
              <w:spacing w:after="0" w:line="240" w:lineRule="auto"/>
              <w:rPr>
                <w:rFonts w:ascii="Arial" w:eastAsia="Times New Roman" w:hAnsi="Arial" w:cs="Arial"/>
                <w:color w:val="000000"/>
                <w:sz w:val="20"/>
                <w:szCs w:val="20"/>
                <w:lang w:eastAsia="es-MX"/>
              </w:rPr>
            </w:pPr>
            <w:r w:rsidRPr="00412011">
              <w:rPr>
                <w:rFonts w:ascii="Arial" w:eastAsia="Times New Roman" w:hAnsi="Arial" w:cs="Arial"/>
                <w:color w:val="000000"/>
                <w:sz w:val="20"/>
                <w:szCs w:val="20"/>
                <w:lang w:eastAsia="es-MX"/>
              </w:rPr>
              <w:t>Querétaro</w:t>
            </w:r>
          </w:p>
        </w:tc>
        <w:tc>
          <w:tcPr>
            <w:tcW w:w="1200" w:type="dxa"/>
            <w:tcBorders>
              <w:top w:val="nil"/>
              <w:left w:val="nil"/>
              <w:bottom w:val="single" w:sz="4" w:space="0" w:color="auto"/>
              <w:right w:val="single" w:sz="4" w:space="0" w:color="auto"/>
            </w:tcBorders>
            <w:shd w:val="clear" w:color="auto" w:fill="auto"/>
            <w:noWrap/>
            <w:vAlign w:val="bottom"/>
            <w:hideMark/>
          </w:tcPr>
          <w:p w14:paraId="2C131453"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2.67%</w:t>
            </w:r>
          </w:p>
        </w:tc>
        <w:tc>
          <w:tcPr>
            <w:tcW w:w="1286" w:type="dxa"/>
            <w:tcBorders>
              <w:top w:val="nil"/>
              <w:left w:val="nil"/>
              <w:bottom w:val="single" w:sz="4" w:space="0" w:color="auto"/>
              <w:right w:val="single" w:sz="4" w:space="0" w:color="auto"/>
            </w:tcBorders>
            <w:shd w:val="clear" w:color="auto" w:fill="auto"/>
            <w:noWrap/>
            <w:vAlign w:val="bottom"/>
            <w:hideMark/>
          </w:tcPr>
          <w:p w14:paraId="72FF8CDD"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371</w:t>
            </w:r>
          </w:p>
        </w:tc>
        <w:tc>
          <w:tcPr>
            <w:tcW w:w="1200" w:type="dxa"/>
            <w:tcBorders>
              <w:top w:val="nil"/>
              <w:left w:val="nil"/>
              <w:bottom w:val="single" w:sz="4" w:space="0" w:color="auto"/>
              <w:right w:val="single" w:sz="4" w:space="0" w:color="auto"/>
            </w:tcBorders>
            <w:shd w:val="clear" w:color="auto" w:fill="auto"/>
            <w:noWrap/>
            <w:vAlign w:val="bottom"/>
            <w:hideMark/>
          </w:tcPr>
          <w:p w14:paraId="50CBFCE2"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82.48</w:t>
            </w:r>
          </w:p>
        </w:tc>
        <w:tc>
          <w:tcPr>
            <w:tcW w:w="1418" w:type="dxa"/>
            <w:tcBorders>
              <w:top w:val="nil"/>
              <w:left w:val="nil"/>
              <w:bottom w:val="single" w:sz="4" w:space="0" w:color="auto"/>
              <w:right w:val="single" w:sz="4" w:space="0" w:color="auto"/>
            </w:tcBorders>
            <w:shd w:val="clear" w:color="auto" w:fill="auto"/>
            <w:noWrap/>
            <w:vAlign w:val="bottom"/>
            <w:hideMark/>
          </w:tcPr>
          <w:p w14:paraId="3CB15B05"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2.80</w:t>
            </w:r>
          </w:p>
        </w:tc>
        <w:tc>
          <w:tcPr>
            <w:tcW w:w="1200" w:type="dxa"/>
            <w:tcBorders>
              <w:top w:val="nil"/>
              <w:left w:val="nil"/>
              <w:bottom w:val="single" w:sz="4" w:space="0" w:color="auto"/>
              <w:right w:val="single" w:sz="4" w:space="0" w:color="auto"/>
            </w:tcBorders>
            <w:shd w:val="clear" w:color="auto" w:fill="auto"/>
            <w:noWrap/>
            <w:vAlign w:val="bottom"/>
            <w:hideMark/>
          </w:tcPr>
          <w:p w14:paraId="7AFD9E63"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166.77</w:t>
            </w:r>
          </w:p>
        </w:tc>
      </w:tr>
      <w:tr w:rsidR="000F6F1D" w:rsidRPr="00412011" w14:paraId="02115EA9" w14:textId="77777777" w:rsidTr="000F6F1D">
        <w:trPr>
          <w:trHeight w:val="300"/>
          <w:jc w:val="center"/>
        </w:trPr>
        <w:tc>
          <w:tcPr>
            <w:tcW w:w="1600" w:type="dxa"/>
            <w:tcBorders>
              <w:top w:val="nil"/>
              <w:left w:val="single" w:sz="4" w:space="0" w:color="auto"/>
              <w:bottom w:val="single" w:sz="4" w:space="0" w:color="auto"/>
              <w:right w:val="single" w:sz="4" w:space="0" w:color="auto"/>
            </w:tcBorders>
            <w:shd w:val="clear" w:color="auto" w:fill="auto"/>
            <w:noWrap/>
            <w:vAlign w:val="bottom"/>
            <w:hideMark/>
          </w:tcPr>
          <w:p w14:paraId="462B55D6" w14:textId="77777777" w:rsidR="000F6F1D" w:rsidRPr="00412011" w:rsidRDefault="000F6F1D" w:rsidP="000F6F1D">
            <w:pPr>
              <w:spacing w:after="0" w:line="240" w:lineRule="auto"/>
              <w:rPr>
                <w:rFonts w:ascii="Arial" w:eastAsia="Times New Roman" w:hAnsi="Arial" w:cs="Arial"/>
                <w:color w:val="000000"/>
                <w:sz w:val="20"/>
                <w:szCs w:val="20"/>
                <w:lang w:eastAsia="es-MX"/>
              </w:rPr>
            </w:pPr>
            <w:r w:rsidRPr="00412011">
              <w:rPr>
                <w:rFonts w:ascii="Arial" w:eastAsia="Times New Roman" w:hAnsi="Arial" w:cs="Arial"/>
                <w:color w:val="000000"/>
                <w:sz w:val="20"/>
                <w:szCs w:val="20"/>
                <w:lang w:eastAsia="es-MX"/>
              </w:rPr>
              <w:t>Quintana Roo</w:t>
            </w:r>
          </w:p>
        </w:tc>
        <w:tc>
          <w:tcPr>
            <w:tcW w:w="1200" w:type="dxa"/>
            <w:tcBorders>
              <w:top w:val="nil"/>
              <w:left w:val="nil"/>
              <w:bottom w:val="single" w:sz="4" w:space="0" w:color="auto"/>
              <w:right w:val="single" w:sz="4" w:space="0" w:color="auto"/>
            </w:tcBorders>
            <w:shd w:val="clear" w:color="auto" w:fill="auto"/>
            <w:noWrap/>
            <w:vAlign w:val="bottom"/>
            <w:hideMark/>
          </w:tcPr>
          <w:p w14:paraId="0788BB0D"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1.20%</w:t>
            </w:r>
          </w:p>
        </w:tc>
        <w:tc>
          <w:tcPr>
            <w:tcW w:w="1286" w:type="dxa"/>
            <w:tcBorders>
              <w:top w:val="nil"/>
              <w:left w:val="nil"/>
              <w:bottom w:val="single" w:sz="4" w:space="0" w:color="auto"/>
              <w:right w:val="single" w:sz="4" w:space="0" w:color="auto"/>
            </w:tcBorders>
            <w:shd w:val="clear" w:color="auto" w:fill="auto"/>
            <w:noWrap/>
            <w:vAlign w:val="bottom"/>
            <w:hideMark/>
          </w:tcPr>
          <w:p w14:paraId="237CA011"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282</w:t>
            </w:r>
          </w:p>
        </w:tc>
        <w:tc>
          <w:tcPr>
            <w:tcW w:w="1200" w:type="dxa"/>
            <w:tcBorders>
              <w:top w:val="nil"/>
              <w:left w:val="nil"/>
              <w:bottom w:val="single" w:sz="4" w:space="0" w:color="auto"/>
              <w:right w:val="single" w:sz="4" w:space="0" w:color="auto"/>
            </w:tcBorders>
            <w:shd w:val="clear" w:color="auto" w:fill="auto"/>
            <w:noWrap/>
            <w:vAlign w:val="bottom"/>
            <w:hideMark/>
          </w:tcPr>
          <w:p w14:paraId="7F156472"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81.88</w:t>
            </w:r>
          </w:p>
        </w:tc>
        <w:tc>
          <w:tcPr>
            <w:tcW w:w="1418" w:type="dxa"/>
            <w:tcBorders>
              <w:top w:val="nil"/>
              <w:left w:val="nil"/>
              <w:bottom w:val="single" w:sz="4" w:space="0" w:color="auto"/>
              <w:right w:val="single" w:sz="4" w:space="0" w:color="auto"/>
            </w:tcBorders>
            <w:shd w:val="clear" w:color="auto" w:fill="auto"/>
            <w:noWrap/>
            <w:vAlign w:val="bottom"/>
            <w:hideMark/>
          </w:tcPr>
          <w:p w14:paraId="72BB530F"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3.00</w:t>
            </w:r>
          </w:p>
        </w:tc>
        <w:tc>
          <w:tcPr>
            <w:tcW w:w="1200" w:type="dxa"/>
            <w:tcBorders>
              <w:top w:val="nil"/>
              <w:left w:val="nil"/>
              <w:bottom w:val="single" w:sz="4" w:space="0" w:color="auto"/>
              <w:right w:val="single" w:sz="4" w:space="0" w:color="auto"/>
            </w:tcBorders>
            <w:shd w:val="clear" w:color="auto" w:fill="auto"/>
            <w:noWrap/>
            <w:vAlign w:val="bottom"/>
            <w:hideMark/>
          </w:tcPr>
          <w:p w14:paraId="176E6B26"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195.98</w:t>
            </w:r>
          </w:p>
        </w:tc>
      </w:tr>
      <w:tr w:rsidR="000F6F1D" w:rsidRPr="00412011" w14:paraId="2DDD0A87" w14:textId="77777777" w:rsidTr="000F6F1D">
        <w:trPr>
          <w:trHeight w:val="300"/>
          <w:jc w:val="center"/>
        </w:trPr>
        <w:tc>
          <w:tcPr>
            <w:tcW w:w="1600" w:type="dxa"/>
            <w:tcBorders>
              <w:top w:val="nil"/>
              <w:left w:val="single" w:sz="4" w:space="0" w:color="auto"/>
              <w:bottom w:val="single" w:sz="4" w:space="0" w:color="auto"/>
              <w:right w:val="single" w:sz="4" w:space="0" w:color="auto"/>
            </w:tcBorders>
            <w:shd w:val="clear" w:color="auto" w:fill="auto"/>
            <w:noWrap/>
            <w:vAlign w:val="bottom"/>
            <w:hideMark/>
          </w:tcPr>
          <w:p w14:paraId="6F69224E" w14:textId="77777777" w:rsidR="000F6F1D" w:rsidRPr="00412011" w:rsidRDefault="000F6F1D" w:rsidP="000F6F1D">
            <w:pPr>
              <w:spacing w:after="0" w:line="240" w:lineRule="auto"/>
              <w:rPr>
                <w:rFonts w:ascii="Arial" w:eastAsia="Times New Roman" w:hAnsi="Arial" w:cs="Arial"/>
                <w:color w:val="000000"/>
                <w:sz w:val="20"/>
                <w:szCs w:val="20"/>
                <w:lang w:eastAsia="es-MX"/>
              </w:rPr>
            </w:pPr>
            <w:r w:rsidRPr="00412011">
              <w:rPr>
                <w:rFonts w:ascii="Arial" w:eastAsia="Times New Roman" w:hAnsi="Arial" w:cs="Arial"/>
                <w:color w:val="000000"/>
                <w:sz w:val="20"/>
                <w:szCs w:val="20"/>
                <w:lang w:eastAsia="es-MX"/>
              </w:rPr>
              <w:lastRenderedPageBreak/>
              <w:t>Sinaloa</w:t>
            </w:r>
          </w:p>
        </w:tc>
        <w:tc>
          <w:tcPr>
            <w:tcW w:w="1200" w:type="dxa"/>
            <w:tcBorders>
              <w:top w:val="nil"/>
              <w:left w:val="nil"/>
              <w:bottom w:val="single" w:sz="4" w:space="0" w:color="auto"/>
              <w:right w:val="single" w:sz="4" w:space="0" w:color="auto"/>
            </w:tcBorders>
            <w:shd w:val="clear" w:color="auto" w:fill="auto"/>
            <w:noWrap/>
            <w:vAlign w:val="bottom"/>
            <w:hideMark/>
          </w:tcPr>
          <w:p w14:paraId="2F55EAEC"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2.95%</w:t>
            </w:r>
          </w:p>
        </w:tc>
        <w:tc>
          <w:tcPr>
            <w:tcW w:w="1286" w:type="dxa"/>
            <w:tcBorders>
              <w:top w:val="nil"/>
              <w:left w:val="nil"/>
              <w:bottom w:val="single" w:sz="4" w:space="0" w:color="auto"/>
              <w:right w:val="single" w:sz="4" w:space="0" w:color="auto"/>
            </w:tcBorders>
            <w:shd w:val="clear" w:color="auto" w:fill="auto"/>
            <w:noWrap/>
            <w:vAlign w:val="bottom"/>
            <w:hideMark/>
          </w:tcPr>
          <w:p w14:paraId="0E222F63"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986</w:t>
            </w:r>
          </w:p>
        </w:tc>
        <w:tc>
          <w:tcPr>
            <w:tcW w:w="1200" w:type="dxa"/>
            <w:tcBorders>
              <w:top w:val="nil"/>
              <w:left w:val="nil"/>
              <w:bottom w:val="single" w:sz="4" w:space="0" w:color="auto"/>
              <w:right w:val="single" w:sz="4" w:space="0" w:color="auto"/>
            </w:tcBorders>
            <w:shd w:val="clear" w:color="auto" w:fill="auto"/>
            <w:noWrap/>
            <w:vAlign w:val="bottom"/>
            <w:hideMark/>
          </w:tcPr>
          <w:p w14:paraId="50809FA9"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128.03</w:t>
            </w:r>
          </w:p>
        </w:tc>
        <w:tc>
          <w:tcPr>
            <w:tcW w:w="1418" w:type="dxa"/>
            <w:tcBorders>
              <w:top w:val="nil"/>
              <w:left w:val="nil"/>
              <w:bottom w:val="single" w:sz="4" w:space="0" w:color="auto"/>
              <w:right w:val="single" w:sz="4" w:space="0" w:color="auto"/>
            </w:tcBorders>
            <w:shd w:val="clear" w:color="auto" w:fill="auto"/>
            <w:noWrap/>
            <w:vAlign w:val="bottom"/>
            <w:hideMark/>
          </w:tcPr>
          <w:p w14:paraId="717A0729"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6.30</w:t>
            </w:r>
          </w:p>
        </w:tc>
        <w:tc>
          <w:tcPr>
            <w:tcW w:w="1200" w:type="dxa"/>
            <w:tcBorders>
              <w:top w:val="nil"/>
              <w:left w:val="nil"/>
              <w:bottom w:val="single" w:sz="4" w:space="0" w:color="auto"/>
              <w:right w:val="single" w:sz="4" w:space="0" w:color="auto"/>
            </w:tcBorders>
            <w:shd w:val="clear" w:color="auto" w:fill="auto"/>
            <w:noWrap/>
            <w:vAlign w:val="bottom"/>
            <w:hideMark/>
          </w:tcPr>
          <w:p w14:paraId="717197E4"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172.70</w:t>
            </w:r>
          </w:p>
        </w:tc>
      </w:tr>
      <w:tr w:rsidR="000F6F1D" w:rsidRPr="00412011" w14:paraId="30AF6B9B" w14:textId="77777777" w:rsidTr="000F6F1D">
        <w:trPr>
          <w:trHeight w:val="300"/>
          <w:jc w:val="center"/>
        </w:trPr>
        <w:tc>
          <w:tcPr>
            <w:tcW w:w="1600" w:type="dxa"/>
            <w:tcBorders>
              <w:top w:val="nil"/>
              <w:left w:val="single" w:sz="4" w:space="0" w:color="auto"/>
              <w:bottom w:val="single" w:sz="4" w:space="0" w:color="auto"/>
              <w:right w:val="single" w:sz="4" w:space="0" w:color="auto"/>
            </w:tcBorders>
            <w:shd w:val="clear" w:color="auto" w:fill="auto"/>
            <w:noWrap/>
            <w:vAlign w:val="bottom"/>
            <w:hideMark/>
          </w:tcPr>
          <w:p w14:paraId="13E9AAE5" w14:textId="77777777" w:rsidR="000F6F1D" w:rsidRPr="00412011" w:rsidRDefault="000F6F1D" w:rsidP="000F6F1D">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San Luis Potosí</w:t>
            </w:r>
          </w:p>
        </w:tc>
        <w:tc>
          <w:tcPr>
            <w:tcW w:w="1200" w:type="dxa"/>
            <w:tcBorders>
              <w:top w:val="nil"/>
              <w:left w:val="nil"/>
              <w:bottom w:val="single" w:sz="4" w:space="0" w:color="auto"/>
              <w:right w:val="single" w:sz="4" w:space="0" w:color="auto"/>
            </w:tcBorders>
            <w:shd w:val="clear" w:color="auto" w:fill="auto"/>
            <w:noWrap/>
            <w:vAlign w:val="bottom"/>
            <w:hideMark/>
          </w:tcPr>
          <w:p w14:paraId="064DE278"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2.27%</w:t>
            </w:r>
          </w:p>
        </w:tc>
        <w:tc>
          <w:tcPr>
            <w:tcW w:w="1286" w:type="dxa"/>
            <w:tcBorders>
              <w:top w:val="nil"/>
              <w:left w:val="nil"/>
              <w:bottom w:val="single" w:sz="4" w:space="0" w:color="auto"/>
              <w:right w:val="single" w:sz="4" w:space="0" w:color="auto"/>
            </w:tcBorders>
            <w:shd w:val="clear" w:color="auto" w:fill="auto"/>
            <w:noWrap/>
            <w:vAlign w:val="bottom"/>
            <w:hideMark/>
          </w:tcPr>
          <w:p w14:paraId="74F5CFCF"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784</w:t>
            </w:r>
          </w:p>
        </w:tc>
        <w:tc>
          <w:tcPr>
            <w:tcW w:w="1200" w:type="dxa"/>
            <w:tcBorders>
              <w:top w:val="nil"/>
              <w:left w:val="nil"/>
              <w:bottom w:val="single" w:sz="4" w:space="0" w:color="auto"/>
              <w:right w:val="single" w:sz="4" w:space="0" w:color="auto"/>
            </w:tcBorders>
            <w:shd w:val="clear" w:color="auto" w:fill="auto"/>
            <w:noWrap/>
            <w:vAlign w:val="bottom"/>
            <w:hideMark/>
          </w:tcPr>
          <w:p w14:paraId="15323D93"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106.87</w:t>
            </w:r>
          </w:p>
        </w:tc>
        <w:tc>
          <w:tcPr>
            <w:tcW w:w="1418" w:type="dxa"/>
            <w:tcBorders>
              <w:top w:val="nil"/>
              <w:left w:val="nil"/>
              <w:bottom w:val="single" w:sz="4" w:space="0" w:color="auto"/>
              <w:right w:val="single" w:sz="4" w:space="0" w:color="auto"/>
            </w:tcBorders>
            <w:shd w:val="clear" w:color="auto" w:fill="auto"/>
            <w:noWrap/>
            <w:vAlign w:val="bottom"/>
            <w:hideMark/>
          </w:tcPr>
          <w:p w14:paraId="4370F02B"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5.99</w:t>
            </w:r>
          </w:p>
        </w:tc>
        <w:tc>
          <w:tcPr>
            <w:tcW w:w="1200" w:type="dxa"/>
            <w:tcBorders>
              <w:top w:val="nil"/>
              <w:left w:val="nil"/>
              <w:bottom w:val="single" w:sz="4" w:space="0" w:color="auto"/>
              <w:right w:val="single" w:sz="4" w:space="0" w:color="auto"/>
            </w:tcBorders>
            <w:shd w:val="clear" w:color="auto" w:fill="auto"/>
            <w:noWrap/>
            <w:vAlign w:val="bottom"/>
            <w:hideMark/>
          </w:tcPr>
          <w:p w14:paraId="5EBA6B33"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187.32</w:t>
            </w:r>
          </w:p>
        </w:tc>
      </w:tr>
      <w:tr w:rsidR="000F6F1D" w:rsidRPr="00412011" w14:paraId="68C52F81" w14:textId="77777777" w:rsidTr="000F6F1D">
        <w:trPr>
          <w:trHeight w:val="300"/>
          <w:jc w:val="center"/>
        </w:trPr>
        <w:tc>
          <w:tcPr>
            <w:tcW w:w="1600" w:type="dxa"/>
            <w:tcBorders>
              <w:top w:val="nil"/>
              <w:left w:val="single" w:sz="4" w:space="0" w:color="auto"/>
              <w:bottom w:val="single" w:sz="4" w:space="0" w:color="auto"/>
              <w:right w:val="single" w:sz="4" w:space="0" w:color="auto"/>
            </w:tcBorders>
            <w:shd w:val="clear" w:color="auto" w:fill="auto"/>
            <w:noWrap/>
            <w:vAlign w:val="bottom"/>
            <w:hideMark/>
          </w:tcPr>
          <w:p w14:paraId="54BFD83F" w14:textId="77777777" w:rsidR="000F6F1D" w:rsidRPr="00412011" w:rsidRDefault="000F6F1D" w:rsidP="000F6F1D">
            <w:pPr>
              <w:spacing w:after="0" w:line="240" w:lineRule="auto"/>
              <w:rPr>
                <w:rFonts w:ascii="Arial" w:eastAsia="Times New Roman" w:hAnsi="Arial" w:cs="Arial"/>
                <w:color w:val="000000"/>
                <w:sz w:val="20"/>
                <w:szCs w:val="20"/>
                <w:lang w:eastAsia="es-MX"/>
              </w:rPr>
            </w:pPr>
            <w:r w:rsidRPr="00412011">
              <w:rPr>
                <w:rFonts w:ascii="Arial" w:eastAsia="Times New Roman" w:hAnsi="Arial" w:cs="Arial"/>
                <w:color w:val="000000"/>
                <w:sz w:val="20"/>
                <w:szCs w:val="20"/>
                <w:lang w:eastAsia="es-MX"/>
              </w:rPr>
              <w:t>Sonora</w:t>
            </w:r>
          </w:p>
        </w:tc>
        <w:tc>
          <w:tcPr>
            <w:tcW w:w="1200" w:type="dxa"/>
            <w:tcBorders>
              <w:top w:val="nil"/>
              <w:left w:val="nil"/>
              <w:bottom w:val="single" w:sz="4" w:space="0" w:color="auto"/>
              <w:right w:val="single" w:sz="4" w:space="0" w:color="auto"/>
            </w:tcBorders>
            <w:shd w:val="clear" w:color="auto" w:fill="auto"/>
            <w:noWrap/>
            <w:vAlign w:val="bottom"/>
            <w:hideMark/>
          </w:tcPr>
          <w:p w14:paraId="5ED7D8E7"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2.98%</w:t>
            </w:r>
          </w:p>
        </w:tc>
        <w:tc>
          <w:tcPr>
            <w:tcW w:w="1286" w:type="dxa"/>
            <w:tcBorders>
              <w:top w:val="nil"/>
              <w:left w:val="nil"/>
              <w:bottom w:val="single" w:sz="4" w:space="0" w:color="auto"/>
              <w:right w:val="single" w:sz="4" w:space="0" w:color="auto"/>
            </w:tcBorders>
            <w:shd w:val="clear" w:color="auto" w:fill="auto"/>
            <w:noWrap/>
            <w:vAlign w:val="bottom"/>
            <w:hideMark/>
          </w:tcPr>
          <w:p w14:paraId="19A904F7"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854</w:t>
            </w:r>
          </w:p>
        </w:tc>
        <w:tc>
          <w:tcPr>
            <w:tcW w:w="1200" w:type="dxa"/>
            <w:tcBorders>
              <w:top w:val="nil"/>
              <w:left w:val="nil"/>
              <w:bottom w:val="single" w:sz="4" w:space="0" w:color="auto"/>
              <w:right w:val="single" w:sz="4" w:space="0" w:color="auto"/>
            </w:tcBorders>
            <w:shd w:val="clear" w:color="auto" w:fill="auto"/>
            <w:noWrap/>
            <w:vAlign w:val="bottom"/>
            <w:hideMark/>
          </w:tcPr>
          <w:p w14:paraId="0430328E"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136.14</w:t>
            </w:r>
          </w:p>
        </w:tc>
        <w:tc>
          <w:tcPr>
            <w:tcW w:w="1418" w:type="dxa"/>
            <w:tcBorders>
              <w:top w:val="nil"/>
              <w:left w:val="nil"/>
              <w:bottom w:val="single" w:sz="4" w:space="0" w:color="auto"/>
              <w:right w:val="single" w:sz="4" w:space="0" w:color="auto"/>
            </w:tcBorders>
            <w:shd w:val="clear" w:color="auto" w:fill="auto"/>
            <w:noWrap/>
            <w:vAlign w:val="bottom"/>
            <w:hideMark/>
          </w:tcPr>
          <w:p w14:paraId="48101540"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2.97</w:t>
            </w:r>
          </w:p>
        </w:tc>
        <w:tc>
          <w:tcPr>
            <w:tcW w:w="1200" w:type="dxa"/>
            <w:tcBorders>
              <w:top w:val="nil"/>
              <w:left w:val="nil"/>
              <w:bottom w:val="single" w:sz="4" w:space="0" w:color="auto"/>
              <w:right w:val="single" w:sz="4" w:space="0" w:color="auto"/>
            </w:tcBorders>
            <w:shd w:val="clear" w:color="auto" w:fill="auto"/>
            <w:noWrap/>
            <w:vAlign w:val="bottom"/>
            <w:hideMark/>
          </w:tcPr>
          <w:p w14:paraId="2C0C23C6"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169.33</w:t>
            </w:r>
          </w:p>
        </w:tc>
      </w:tr>
      <w:tr w:rsidR="000F6F1D" w:rsidRPr="00412011" w14:paraId="5988652D" w14:textId="77777777" w:rsidTr="000F6F1D">
        <w:trPr>
          <w:trHeight w:val="300"/>
          <w:jc w:val="center"/>
        </w:trPr>
        <w:tc>
          <w:tcPr>
            <w:tcW w:w="1600" w:type="dxa"/>
            <w:tcBorders>
              <w:top w:val="nil"/>
              <w:left w:val="single" w:sz="4" w:space="0" w:color="auto"/>
              <w:bottom w:val="single" w:sz="4" w:space="0" w:color="auto"/>
              <w:right w:val="single" w:sz="4" w:space="0" w:color="auto"/>
            </w:tcBorders>
            <w:shd w:val="clear" w:color="auto" w:fill="auto"/>
            <w:noWrap/>
            <w:vAlign w:val="bottom"/>
            <w:hideMark/>
          </w:tcPr>
          <w:p w14:paraId="6FBC5A20" w14:textId="77777777" w:rsidR="000F6F1D" w:rsidRPr="00412011" w:rsidRDefault="000F6F1D" w:rsidP="000F6F1D">
            <w:pPr>
              <w:spacing w:after="0" w:line="240" w:lineRule="auto"/>
              <w:rPr>
                <w:rFonts w:ascii="Arial" w:eastAsia="Times New Roman" w:hAnsi="Arial" w:cs="Arial"/>
                <w:color w:val="000000"/>
                <w:sz w:val="20"/>
                <w:szCs w:val="20"/>
                <w:lang w:eastAsia="es-MX"/>
              </w:rPr>
            </w:pPr>
            <w:r w:rsidRPr="00412011">
              <w:rPr>
                <w:rFonts w:ascii="Arial" w:eastAsia="Times New Roman" w:hAnsi="Arial" w:cs="Arial"/>
                <w:color w:val="000000"/>
                <w:sz w:val="20"/>
                <w:szCs w:val="20"/>
                <w:lang w:eastAsia="es-MX"/>
              </w:rPr>
              <w:t>Tabasco</w:t>
            </w:r>
          </w:p>
        </w:tc>
        <w:tc>
          <w:tcPr>
            <w:tcW w:w="1200" w:type="dxa"/>
            <w:tcBorders>
              <w:top w:val="nil"/>
              <w:left w:val="nil"/>
              <w:bottom w:val="single" w:sz="4" w:space="0" w:color="auto"/>
              <w:right w:val="single" w:sz="4" w:space="0" w:color="auto"/>
            </w:tcBorders>
            <w:shd w:val="clear" w:color="auto" w:fill="auto"/>
            <w:noWrap/>
            <w:vAlign w:val="bottom"/>
            <w:hideMark/>
          </w:tcPr>
          <w:p w14:paraId="27DA7DE7"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1.22%</w:t>
            </w:r>
          </w:p>
        </w:tc>
        <w:tc>
          <w:tcPr>
            <w:tcW w:w="1286" w:type="dxa"/>
            <w:tcBorders>
              <w:top w:val="nil"/>
              <w:left w:val="nil"/>
              <w:bottom w:val="single" w:sz="4" w:space="0" w:color="auto"/>
              <w:right w:val="single" w:sz="4" w:space="0" w:color="auto"/>
            </w:tcBorders>
            <w:shd w:val="clear" w:color="auto" w:fill="auto"/>
            <w:noWrap/>
            <w:vAlign w:val="bottom"/>
            <w:hideMark/>
          </w:tcPr>
          <w:p w14:paraId="041CDF90"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823</w:t>
            </w:r>
          </w:p>
        </w:tc>
        <w:tc>
          <w:tcPr>
            <w:tcW w:w="1200" w:type="dxa"/>
            <w:tcBorders>
              <w:top w:val="nil"/>
              <w:left w:val="nil"/>
              <w:bottom w:val="single" w:sz="4" w:space="0" w:color="auto"/>
              <w:right w:val="single" w:sz="4" w:space="0" w:color="auto"/>
            </w:tcBorders>
            <w:shd w:val="clear" w:color="auto" w:fill="auto"/>
            <w:noWrap/>
            <w:vAlign w:val="bottom"/>
            <w:hideMark/>
          </w:tcPr>
          <w:p w14:paraId="62B94637"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147.71</w:t>
            </w:r>
          </w:p>
        </w:tc>
        <w:tc>
          <w:tcPr>
            <w:tcW w:w="1418" w:type="dxa"/>
            <w:tcBorders>
              <w:top w:val="nil"/>
              <w:left w:val="nil"/>
              <w:bottom w:val="single" w:sz="4" w:space="0" w:color="auto"/>
              <w:right w:val="single" w:sz="4" w:space="0" w:color="auto"/>
            </w:tcBorders>
            <w:shd w:val="clear" w:color="auto" w:fill="auto"/>
            <w:noWrap/>
            <w:vAlign w:val="bottom"/>
            <w:hideMark/>
          </w:tcPr>
          <w:p w14:paraId="78C7A0F1"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3.20</w:t>
            </w:r>
          </w:p>
        </w:tc>
        <w:tc>
          <w:tcPr>
            <w:tcW w:w="1200" w:type="dxa"/>
            <w:tcBorders>
              <w:top w:val="nil"/>
              <w:left w:val="nil"/>
              <w:bottom w:val="single" w:sz="4" w:space="0" w:color="auto"/>
              <w:right w:val="single" w:sz="4" w:space="0" w:color="auto"/>
            </w:tcBorders>
            <w:shd w:val="clear" w:color="auto" w:fill="auto"/>
            <w:noWrap/>
            <w:vAlign w:val="bottom"/>
            <w:hideMark/>
          </w:tcPr>
          <w:p w14:paraId="1D762C26"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186.08</w:t>
            </w:r>
          </w:p>
        </w:tc>
      </w:tr>
      <w:tr w:rsidR="000F6F1D" w:rsidRPr="00412011" w14:paraId="335A400E" w14:textId="77777777" w:rsidTr="000F6F1D">
        <w:trPr>
          <w:trHeight w:val="300"/>
          <w:jc w:val="center"/>
        </w:trPr>
        <w:tc>
          <w:tcPr>
            <w:tcW w:w="1600" w:type="dxa"/>
            <w:tcBorders>
              <w:top w:val="nil"/>
              <w:left w:val="single" w:sz="4" w:space="0" w:color="auto"/>
              <w:bottom w:val="single" w:sz="4" w:space="0" w:color="auto"/>
              <w:right w:val="single" w:sz="4" w:space="0" w:color="auto"/>
            </w:tcBorders>
            <w:shd w:val="clear" w:color="auto" w:fill="auto"/>
            <w:noWrap/>
            <w:vAlign w:val="bottom"/>
            <w:hideMark/>
          </w:tcPr>
          <w:p w14:paraId="609E521A" w14:textId="77777777" w:rsidR="000F6F1D" w:rsidRPr="00412011" w:rsidRDefault="000F6F1D" w:rsidP="000F6F1D">
            <w:pPr>
              <w:spacing w:after="0" w:line="240" w:lineRule="auto"/>
              <w:rPr>
                <w:rFonts w:ascii="Arial" w:eastAsia="Times New Roman" w:hAnsi="Arial" w:cs="Arial"/>
                <w:color w:val="000000"/>
                <w:sz w:val="20"/>
                <w:szCs w:val="20"/>
                <w:lang w:eastAsia="es-MX"/>
              </w:rPr>
            </w:pPr>
            <w:r w:rsidRPr="00412011">
              <w:rPr>
                <w:rFonts w:ascii="Arial" w:eastAsia="Times New Roman" w:hAnsi="Arial" w:cs="Arial"/>
                <w:color w:val="000000"/>
                <w:sz w:val="20"/>
                <w:szCs w:val="20"/>
                <w:lang w:eastAsia="es-MX"/>
              </w:rPr>
              <w:t>Tamaulipas</w:t>
            </w:r>
          </w:p>
        </w:tc>
        <w:tc>
          <w:tcPr>
            <w:tcW w:w="1200" w:type="dxa"/>
            <w:tcBorders>
              <w:top w:val="nil"/>
              <w:left w:val="nil"/>
              <w:bottom w:val="single" w:sz="4" w:space="0" w:color="auto"/>
              <w:right w:val="single" w:sz="4" w:space="0" w:color="auto"/>
            </w:tcBorders>
            <w:shd w:val="clear" w:color="auto" w:fill="auto"/>
            <w:noWrap/>
            <w:vAlign w:val="bottom"/>
            <w:hideMark/>
          </w:tcPr>
          <w:p w14:paraId="34C098B8"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3.61%</w:t>
            </w:r>
          </w:p>
        </w:tc>
        <w:tc>
          <w:tcPr>
            <w:tcW w:w="1286" w:type="dxa"/>
            <w:tcBorders>
              <w:top w:val="nil"/>
              <w:left w:val="nil"/>
              <w:bottom w:val="single" w:sz="4" w:space="0" w:color="auto"/>
              <w:right w:val="single" w:sz="4" w:space="0" w:color="auto"/>
            </w:tcBorders>
            <w:shd w:val="clear" w:color="auto" w:fill="auto"/>
            <w:noWrap/>
            <w:vAlign w:val="bottom"/>
            <w:hideMark/>
          </w:tcPr>
          <w:p w14:paraId="5BAFAC8D"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851</w:t>
            </w:r>
          </w:p>
        </w:tc>
        <w:tc>
          <w:tcPr>
            <w:tcW w:w="1200" w:type="dxa"/>
            <w:tcBorders>
              <w:top w:val="nil"/>
              <w:left w:val="nil"/>
              <w:bottom w:val="single" w:sz="4" w:space="0" w:color="auto"/>
              <w:right w:val="single" w:sz="4" w:space="0" w:color="auto"/>
            </w:tcBorders>
            <w:shd w:val="clear" w:color="auto" w:fill="auto"/>
            <w:noWrap/>
            <w:vAlign w:val="bottom"/>
            <w:hideMark/>
          </w:tcPr>
          <w:p w14:paraId="7D7B71AA"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96.68</w:t>
            </w:r>
          </w:p>
        </w:tc>
        <w:tc>
          <w:tcPr>
            <w:tcW w:w="1418" w:type="dxa"/>
            <w:tcBorders>
              <w:top w:val="nil"/>
              <w:left w:val="nil"/>
              <w:bottom w:val="single" w:sz="4" w:space="0" w:color="auto"/>
              <w:right w:val="single" w:sz="4" w:space="0" w:color="auto"/>
            </w:tcBorders>
            <w:shd w:val="clear" w:color="auto" w:fill="auto"/>
            <w:noWrap/>
            <w:vAlign w:val="bottom"/>
            <w:hideMark/>
          </w:tcPr>
          <w:p w14:paraId="03C47BCD"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5.77</w:t>
            </w:r>
          </w:p>
        </w:tc>
        <w:tc>
          <w:tcPr>
            <w:tcW w:w="1200" w:type="dxa"/>
            <w:tcBorders>
              <w:top w:val="nil"/>
              <w:left w:val="nil"/>
              <w:bottom w:val="single" w:sz="4" w:space="0" w:color="auto"/>
              <w:right w:val="single" w:sz="4" w:space="0" w:color="auto"/>
            </w:tcBorders>
            <w:shd w:val="clear" w:color="auto" w:fill="auto"/>
            <w:noWrap/>
            <w:vAlign w:val="bottom"/>
            <w:hideMark/>
          </w:tcPr>
          <w:p w14:paraId="23CE1076"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191.01</w:t>
            </w:r>
          </w:p>
        </w:tc>
      </w:tr>
      <w:tr w:rsidR="000F6F1D" w:rsidRPr="00412011" w14:paraId="5214138D" w14:textId="77777777" w:rsidTr="000F6F1D">
        <w:trPr>
          <w:trHeight w:val="300"/>
          <w:jc w:val="center"/>
        </w:trPr>
        <w:tc>
          <w:tcPr>
            <w:tcW w:w="1600" w:type="dxa"/>
            <w:tcBorders>
              <w:top w:val="nil"/>
              <w:left w:val="single" w:sz="4" w:space="0" w:color="auto"/>
              <w:bottom w:val="single" w:sz="4" w:space="0" w:color="auto"/>
              <w:right w:val="single" w:sz="4" w:space="0" w:color="auto"/>
            </w:tcBorders>
            <w:shd w:val="clear" w:color="auto" w:fill="auto"/>
            <w:noWrap/>
            <w:vAlign w:val="bottom"/>
            <w:hideMark/>
          </w:tcPr>
          <w:p w14:paraId="285833FA" w14:textId="77777777" w:rsidR="000F6F1D" w:rsidRPr="00412011" w:rsidRDefault="000F6F1D" w:rsidP="000F6F1D">
            <w:pPr>
              <w:spacing w:after="0" w:line="240" w:lineRule="auto"/>
              <w:rPr>
                <w:rFonts w:ascii="Arial" w:eastAsia="Times New Roman" w:hAnsi="Arial" w:cs="Arial"/>
                <w:color w:val="000000"/>
                <w:sz w:val="20"/>
                <w:szCs w:val="20"/>
                <w:lang w:eastAsia="es-MX"/>
              </w:rPr>
            </w:pPr>
            <w:r w:rsidRPr="00412011">
              <w:rPr>
                <w:rFonts w:ascii="Arial" w:eastAsia="Times New Roman" w:hAnsi="Arial" w:cs="Arial"/>
                <w:color w:val="000000"/>
                <w:sz w:val="20"/>
                <w:szCs w:val="20"/>
                <w:lang w:eastAsia="es-MX"/>
              </w:rPr>
              <w:t>Tlaxcala</w:t>
            </w:r>
          </w:p>
        </w:tc>
        <w:tc>
          <w:tcPr>
            <w:tcW w:w="1200" w:type="dxa"/>
            <w:tcBorders>
              <w:top w:val="nil"/>
              <w:left w:val="nil"/>
              <w:bottom w:val="single" w:sz="4" w:space="0" w:color="auto"/>
              <w:right w:val="single" w:sz="4" w:space="0" w:color="auto"/>
            </w:tcBorders>
            <w:shd w:val="clear" w:color="auto" w:fill="auto"/>
            <w:noWrap/>
            <w:vAlign w:val="bottom"/>
            <w:hideMark/>
          </w:tcPr>
          <w:p w14:paraId="5ACEBDF5"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1.23%</w:t>
            </w:r>
          </w:p>
        </w:tc>
        <w:tc>
          <w:tcPr>
            <w:tcW w:w="1286" w:type="dxa"/>
            <w:tcBorders>
              <w:top w:val="nil"/>
              <w:left w:val="nil"/>
              <w:bottom w:val="single" w:sz="4" w:space="0" w:color="auto"/>
              <w:right w:val="single" w:sz="4" w:space="0" w:color="auto"/>
            </w:tcBorders>
            <w:shd w:val="clear" w:color="auto" w:fill="auto"/>
            <w:noWrap/>
            <w:vAlign w:val="bottom"/>
            <w:hideMark/>
          </w:tcPr>
          <w:p w14:paraId="485A4C6D"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278</w:t>
            </w:r>
          </w:p>
        </w:tc>
        <w:tc>
          <w:tcPr>
            <w:tcW w:w="1200" w:type="dxa"/>
            <w:tcBorders>
              <w:top w:val="nil"/>
              <w:left w:val="nil"/>
              <w:bottom w:val="single" w:sz="4" w:space="0" w:color="auto"/>
              <w:right w:val="single" w:sz="4" w:space="0" w:color="auto"/>
            </w:tcBorders>
            <w:shd w:val="clear" w:color="auto" w:fill="auto"/>
            <w:noWrap/>
            <w:vAlign w:val="bottom"/>
            <w:hideMark/>
          </w:tcPr>
          <w:p w14:paraId="4B32C511"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98.08</w:t>
            </w:r>
          </w:p>
        </w:tc>
        <w:tc>
          <w:tcPr>
            <w:tcW w:w="1418" w:type="dxa"/>
            <w:tcBorders>
              <w:top w:val="nil"/>
              <w:left w:val="nil"/>
              <w:bottom w:val="single" w:sz="4" w:space="0" w:color="auto"/>
              <w:right w:val="single" w:sz="4" w:space="0" w:color="auto"/>
            </w:tcBorders>
            <w:shd w:val="clear" w:color="auto" w:fill="auto"/>
            <w:noWrap/>
            <w:vAlign w:val="bottom"/>
            <w:hideMark/>
          </w:tcPr>
          <w:p w14:paraId="75BF0459"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3.26</w:t>
            </w:r>
          </w:p>
        </w:tc>
        <w:tc>
          <w:tcPr>
            <w:tcW w:w="1200" w:type="dxa"/>
            <w:tcBorders>
              <w:top w:val="nil"/>
              <w:left w:val="nil"/>
              <w:bottom w:val="single" w:sz="4" w:space="0" w:color="auto"/>
              <w:right w:val="single" w:sz="4" w:space="0" w:color="auto"/>
            </w:tcBorders>
            <w:shd w:val="clear" w:color="auto" w:fill="auto"/>
            <w:noWrap/>
            <w:vAlign w:val="bottom"/>
            <w:hideMark/>
          </w:tcPr>
          <w:p w14:paraId="3C16CF1B"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182.18</w:t>
            </w:r>
          </w:p>
        </w:tc>
      </w:tr>
      <w:tr w:rsidR="000F6F1D" w:rsidRPr="00412011" w14:paraId="420D3DFE" w14:textId="77777777" w:rsidTr="000F6F1D">
        <w:trPr>
          <w:trHeight w:val="300"/>
          <w:jc w:val="center"/>
        </w:trPr>
        <w:tc>
          <w:tcPr>
            <w:tcW w:w="1600" w:type="dxa"/>
            <w:tcBorders>
              <w:top w:val="nil"/>
              <w:left w:val="single" w:sz="4" w:space="0" w:color="auto"/>
              <w:bottom w:val="single" w:sz="4" w:space="0" w:color="auto"/>
              <w:right w:val="single" w:sz="4" w:space="0" w:color="auto"/>
            </w:tcBorders>
            <w:shd w:val="clear" w:color="auto" w:fill="auto"/>
            <w:noWrap/>
            <w:vAlign w:val="bottom"/>
            <w:hideMark/>
          </w:tcPr>
          <w:p w14:paraId="673EF2C5" w14:textId="77777777" w:rsidR="000F6F1D" w:rsidRPr="00412011" w:rsidRDefault="000F6F1D" w:rsidP="000F6F1D">
            <w:pPr>
              <w:spacing w:after="0" w:line="240" w:lineRule="auto"/>
              <w:rPr>
                <w:rFonts w:ascii="Arial" w:eastAsia="Times New Roman" w:hAnsi="Arial" w:cs="Arial"/>
                <w:color w:val="000000"/>
                <w:sz w:val="20"/>
                <w:szCs w:val="20"/>
                <w:lang w:eastAsia="es-MX"/>
              </w:rPr>
            </w:pPr>
            <w:r w:rsidRPr="00412011">
              <w:rPr>
                <w:rFonts w:ascii="Arial" w:eastAsia="Times New Roman" w:hAnsi="Arial" w:cs="Arial"/>
                <w:color w:val="000000"/>
                <w:sz w:val="20"/>
                <w:szCs w:val="20"/>
                <w:lang w:eastAsia="es-MX"/>
              </w:rPr>
              <w:t>Veracruz</w:t>
            </w:r>
          </w:p>
        </w:tc>
        <w:tc>
          <w:tcPr>
            <w:tcW w:w="1200" w:type="dxa"/>
            <w:tcBorders>
              <w:top w:val="nil"/>
              <w:left w:val="nil"/>
              <w:bottom w:val="single" w:sz="4" w:space="0" w:color="auto"/>
              <w:right w:val="single" w:sz="4" w:space="0" w:color="auto"/>
            </w:tcBorders>
            <w:shd w:val="clear" w:color="auto" w:fill="auto"/>
            <w:noWrap/>
            <w:vAlign w:val="bottom"/>
            <w:hideMark/>
          </w:tcPr>
          <w:p w14:paraId="74F454A4"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9.26%</w:t>
            </w:r>
          </w:p>
        </w:tc>
        <w:tc>
          <w:tcPr>
            <w:tcW w:w="1286" w:type="dxa"/>
            <w:tcBorders>
              <w:top w:val="nil"/>
              <w:left w:val="nil"/>
              <w:bottom w:val="single" w:sz="4" w:space="0" w:color="auto"/>
              <w:right w:val="single" w:sz="4" w:space="0" w:color="auto"/>
            </w:tcBorders>
            <w:shd w:val="clear" w:color="auto" w:fill="auto"/>
            <w:noWrap/>
            <w:vAlign w:val="bottom"/>
            <w:hideMark/>
          </w:tcPr>
          <w:p w14:paraId="5C60190E"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2681</w:t>
            </w:r>
          </w:p>
        </w:tc>
        <w:tc>
          <w:tcPr>
            <w:tcW w:w="1200" w:type="dxa"/>
            <w:tcBorders>
              <w:top w:val="nil"/>
              <w:left w:val="nil"/>
              <w:bottom w:val="single" w:sz="4" w:space="0" w:color="auto"/>
              <w:right w:val="single" w:sz="4" w:space="0" w:color="auto"/>
            </w:tcBorders>
            <w:shd w:val="clear" w:color="auto" w:fill="auto"/>
            <w:noWrap/>
            <w:vAlign w:val="bottom"/>
            <w:hideMark/>
          </w:tcPr>
          <w:p w14:paraId="6DAE0321"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122.79</w:t>
            </w:r>
          </w:p>
        </w:tc>
        <w:tc>
          <w:tcPr>
            <w:tcW w:w="1418" w:type="dxa"/>
            <w:tcBorders>
              <w:top w:val="nil"/>
              <w:left w:val="nil"/>
              <w:bottom w:val="single" w:sz="4" w:space="0" w:color="auto"/>
              <w:right w:val="single" w:sz="4" w:space="0" w:color="auto"/>
            </w:tcBorders>
            <w:shd w:val="clear" w:color="auto" w:fill="auto"/>
            <w:noWrap/>
            <w:vAlign w:val="bottom"/>
            <w:hideMark/>
          </w:tcPr>
          <w:p w14:paraId="47BAE90C"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1.39</w:t>
            </w:r>
          </w:p>
        </w:tc>
        <w:tc>
          <w:tcPr>
            <w:tcW w:w="1200" w:type="dxa"/>
            <w:tcBorders>
              <w:top w:val="nil"/>
              <w:left w:val="nil"/>
              <w:bottom w:val="single" w:sz="4" w:space="0" w:color="auto"/>
              <w:right w:val="single" w:sz="4" w:space="0" w:color="auto"/>
            </w:tcBorders>
            <w:shd w:val="clear" w:color="auto" w:fill="auto"/>
            <w:noWrap/>
            <w:vAlign w:val="bottom"/>
            <w:hideMark/>
          </w:tcPr>
          <w:p w14:paraId="688B461A"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187.15</w:t>
            </w:r>
          </w:p>
        </w:tc>
      </w:tr>
      <w:tr w:rsidR="000F6F1D" w:rsidRPr="00412011" w14:paraId="0E260D40" w14:textId="77777777" w:rsidTr="000F6F1D">
        <w:trPr>
          <w:trHeight w:val="300"/>
          <w:jc w:val="center"/>
        </w:trPr>
        <w:tc>
          <w:tcPr>
            <w:tcW w:w="1600" w:type="dxa"/>
            <w:tcBorders>
              <w:top w:val="nil"/>
              <w:left w:val="single" w:sz="4" w:space="0" w:color="auto"/>
              <w:bottom w:val="single" w:sz="4" w:space="0" w:color="auto"/>
              <w:right w:val="single" w:sz="4" w:space="0" w:color="auto"/>
            </w:tcBorders>
            <w:shd w:val="clear" w:color="auto" w:fill="auto"/>
            <w:noWrap/>
            <w:vAlign w:val="bottom"/>
            <w:hideMark/>
          </w:tcPr>
          <w:p w14:paraId="11101E5B" w14:textId="77777777" w:rsidR="000F6F1D" w:rsidRPr="00412011" w:rsidRDefault="000F6F1D" w:rsidP="000F6F1D">
            <w:pPr>
              <w:spacing w:after="0" w:line="240" w:lineRule="auto"/>
              <w:rPr>
                <w:rFonts w:ascii="Arial" w:eastAsia="Times New Roman" w:hAnsi="Arial" w:cs="Arial"/>
                <w:color w:val="000000"/>
                <w:sz w:val="20"/>
                <w:szCs w:val="20"/>
                <w:lang w:eastAsia="es-MX"/>
              </w:rPr>
            </w:pPr>
            <w:r w:rsidRPr="00412011">
              <w:rPr>
                <w:rFonts w:ascii="Arial" w:eastAsia="Times New Roman" w:hAnsi="Arial" w:cs="Arial"/>
                <w:color w:val="000000"/>
                <w:sz w:val="20"/>
                <w:szCs w:val="20"/>
                <w:lang w:eastAsia="es-MX"/>
              </w:rPr>
              <w:t>Yucatán</w:t>
            </w:r>
          </w:p>
        </w:tc>
        <w:tc>
          <w:tcPr>
            <w:tcW w:w="1200" w:type="dxa"/>
            <w:tcBorders>
              <w:top w:val="nil"/>
              <w:left w:val="nil"/>
              <w:bottom w:val="single" w:sz="4" w:space="0" w:color="auto"/>
              <w:right w:val="single" w:sz="4" w:space="0" w:color="auto"/>
            </w:tcBorders>
            <w:shd w:val="clear" w:color="auto" w:fill="auto"/>
            <w:noWrap/>
            <w:vAlign w:val="bottom"/>
            <w:hideMark/>
          </w:tcPr>
          <w:p w14:paraId="32693DCF"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3.39%</w:t>
            </w:r>
          </w:p>
        </w:tc>
        <w:tc>
          <w:tcPr>
            <w:tcW w:w="1286" w:type="dxa"/>
            <w:tcBorders>
              <w:top w:val="nil"/>
              <w:left w:val="nil"/>
              <w:bottom w:val="single" w:sz="4" w:space="0" w:color="auto"/>
              <w:right w:val="single" w:sz="4" w:space="0" w:color="auto"/>
            </w:tcBorders>
            <w:shd w:val="clear" w:color="auto" w:fill="auto"/>
            <w:noWrap/>
            <w:vAlign w:val="bottom"/>
            <w:hideMark/>
          </w:tcPr>
          <w:p w14:paraId="0A75033F"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507</w:t>
            </w:r>
          </w:p>
        </w:tc>
        <w:tc>
          <w:tcPr>
            <w:tcW w:w="1200" w:type="dxa"/>
            <w:tcBorders>
              <w:top w:val="nil"/>
              <w:left w:val="nil"/>
              <w:bottom w:val="single" w:sz="4" w:space="0" w:color="auto"/>
              <w:right w:val="single" w:sz="4" w:space="0" w:color="auto"/>
            </w:tcBorders>
            <w:shd w:val="clear" w:color="auto" w:fill="auto"/>
            <w:noWrap/>
            <w:vAlign w:val="bottom"/>
            <w:hideMark/>
          </w:tcPr>
          <w:p w14:paraId="460A4195"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97.00</w:t>
            </w:r>
          </w:p>
        </w:tc>
        <w:tc>
          <w:tcPr>
            <w:tcW w:w="1418" w:type="dxa"/>
            <w:tcBorders>
              <w:top w:val="nil"/>
              <w:left w:val="nil"/>
              <w:bottom w:val="single" w:sz="4" w:space="0" w:color="auto"/>
              <w:right w:val="single" w:sz="4" w:space="0" w:color="auto"/>
            </w:tcBorders>
            <w:shd w:val="clear" w:color="auto" w:fill="auto"/>
            <w:noWrap/>
            <w:vAlign w:val="bottom"/>
            <w:hideMark/>
          </w:tcPr>
          <w:p w14:paraId="1282C5BA"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5.87</w:t>
            </w:r>
          </w:p>
        </w:tc>
        <w:tc>
          <w:tcPr>
            <w:tcW w:w="1200" w:type="dxa"/>
            <w:tcBorders>
              <w:top w:val="nil"/>
              <w:left w:val="nil"/>
              <w:bottom w:val="single" w:sz="4" w:space="0" w:color="auto"/>
              <w:right w:val="single" w:sz="4" w:space="0" w:color="auto"/>
            </w:tcBorders>
            <w:shd w:val="clear" w:color="auto" w:fill="auto"/>
            <w:noWrap/>
            <w:vAlign w:val="bottom"/>
            <w:hideMark/>
          </w:tcPr>
          <w:p w14:paraId="3DE826D2"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181.09</w:t>
            </w:r>
          </w:p>
        </w:tc>
      </w:tr>
      <w:tr w:rsidR="000F6F1D" w:rsidRPr="00412011" w14:paraId="3D0CC67E" w14:textId="77777777" w:rsidTr="000F6F1D">
        <w:trPr>
          <w:trHeight w:val="300"/>
          <w:jc w:val="center"/>
        </w:trPr>
        <w:tc>
          <w:tcPr>
            <w:tcW w:w="1600" w:type="dxa"/>
            <w:tcBorders>
              <w:top w:val="nil"/>
              <w:left w:val="single" w:sz="4" w:space="0" w:color="auto"/>
              <w:bottom w:val="single" w:sz="4" w:space="0" w:color="auto"/>
              <w:right w:val="single" w:sz="4" w:space="0" w:color="auto"/>
            </w:tcBorders>
            <w:shd w:val="clear" w:color="auto" w:fill="auto"/>
            <w:noWrap/>
            <w:vAlign w:val="bottom"/>
            <w:hideMark/>
          </w:tcPr>
          <w:p w14:paraId="64D70440" w14:textId="77777777" w:rsidR="000F6F1D" w:rsidRPr="00412011" w:rsidRDefault="000F6F1D" w:rsidP="000F6F1D">
            <w:pPr>
              <w:spacing w:after="0" w:line="240" w:lineRule="auto"/>
              <w:rPr>
                <w:rFonts w:ascii="Arial" w:eastAsia="Times New Roman" w:hAnsi="Arial" w:cs="Arial"/>
                <w:color w:val="000000"/>
                <w:sz w:val="20"/>
                <w:szCs w:val="20"/>
                <w:lang w:eastAsia="es-MX"/>
              </w:rPr>
            </w:pPr>
            <w:r w:rsidRPr="00412011">
              <w:rPr>
                <w:rFonts w:ascii="Arial" w:eastAsia="Times New Roman" w:hAnsi="Arial" w:cs="Arial"/>
                <w:color w:val="000000"/>
                <w:sz w:val="20"/>
                <w:szCs w:val="20"/>
                <w:lang w:eastAsia="es-MX"/>
              </w:rPr>
              <w:t>Zacatecas</w:t>
            </w:r>
          </w:p>
        </w:tc>
        <w:tc>
          <w:tcPr>
            <w:tcW w:w="1200" w:type="dxa"/>
            <w:tcBorders>
              <w:top w:val="nil"/>
              <w:left w:val="nil"/>
              <w:bottom w:val="single" w:sz="4" w:space="0" w:color="auto"/>
              <w:right w:val="single" w:sz="4" w:space="0" w:color="auto"/>
            </w:tcBorders>
            <w:shd w:val="clear" w:color="auto" w:fill="auto"/>
            <w:noWrap/>
            <w:vAlign w:val="bottom"/>
            <w:hideMark/>
          </w:tcPr>
          <w:p w14:paraId="27CAE757"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0.29%</w:t>
            </w:r>
          </w:p>
        </w:tc>
        <w:tc>
          <w:tcPr>
            <w:tcW w:w="1286" w:type="dxa"/>
            <w:tcBorders>
              <w:top w:val="nil"/>
              <w:left w:val="nil"/>
              <w:bottom w:val="single" w:sz="4" w:space="0" w:color="auto"/>
              <w:right w:val="single" w:sz="4" w:space="0" w:color="auto"/>
            </w:tcBorders>
            <w:shd w:val="clear" w:color="auto" w:fill="auto"/>
            <w:noWrap/>
            <w:vAlign w:val="bottom"/>
            <w:hideMark/>
          </w:tcPr>
          <w:p w14:paraId="2E19B126"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762</w:t>
            </w:r>
          </w:p>
        </w:tc>
        <w:tc>
          <w:tcPr>
            <w:tcW w:w="1200" w:type="dxa"/>
            <w:tcBorders>
              <w:top w:val="nil"/>
              <w:left w:val="nil"/>
              <w:bottom w:val="single" w:sz="4" w:space="0" w:color="auto"/>
              <w:right w:val="single" w:sz="4" w:space="0" w:color="auto"/>
            </w:tcBorders>
            <w:shd w:val="clear" w:color="auto" w:fill="auto"/>
            <w:noWrap/>
            <w:vAlign w:val="bottom"/>
            <w:hideMark/>
          </w:tcPr>
          <w:p w14:paraId="2AADCFA7"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157.41</w:t>
            </w:r>
          </w:p>
        </w:tc>
        <w:tc>
          <w:tcPr>
            <w:tcW w:w="1418" w:type="dxa"/>
            <w:tcBorders>
              <w:top w:val="nil"/>
              <w:left w:val="nil"/>
              <w:bottom w:val="single" w:sz="4" w:space="0" w:color="auto"/>
              <w:right w:val="single" w:sz="4" w:space="0" w:color="auto"/>
            </w:tcBorders>
            <w:shd w:val="clear" w:color="auto" w:fill="auto"/>
            <w:noWrap/>
            <w:vAlign w:val="bottom"/>
            <w:hideMark/>
          </w:tcPr>
          <w:p w14:paraId="69041321"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4.67</w:t>
            </w:r>
          </w:p>
        </w:tc>
        <w:tc>
          <w:tcPr>
            <w:tcW w:w="1200" w:type="dxa"/>
            <w:tcBorders>
              <w:top w:val="nil"/>
              <w:left w:val="nil"/>
              <w:bottom w:val="single" w:sz="4" w:space="0" w:color="auto"/>
              <w:right w:val="single" w:sz="4" w:space="0" w:color="auto"/>
            </w:tcBorders>
            <w:shd w:val="clear" w:color="auto" w:fill="auto"/>
            <w:noWrap/>
            <w:vAlign w:val="bottom"/>
            <w:hideMark/>
          </w:tcPr>
          <w:p w14:paraId="5C5ED48B" w14:textId="77777777" w:rsidR="000F6F1D" w:rsidRPr="00412011" w:rsidRDefault="000F6F1D" w:rsidP="000F6F1D">
            <w:pPr>
              <w:jc w:val="right"/>
              <w:rPr>
                <w:rFonts w:ascii="Arial" w:hAnsi="Arial" w:cs="Arial"/>
                <w:color w:val="000000"/>
                <w:sz w:val="20"/>
                <w:szCs w:val="20"/>
              </w:rPr>
            </w:pPr>
            <w:r w:rsidRPr="00412011">
              <w:rPr>
                <w:rFonts w:ascii="Arial" w:hAnsi="Arial" w:cs="Arial"/>
                <w:color w:val="000000"/>
                <w:sz w:val="20"/>
                <w:szCs w:val="20"/>
              </w:rPr>
              <w:t>168.15</w:t>
            </w:r>
          </w:p>
        </w:tc>
      </w:tr>
    </w:tbl>
    <w:p w14:paraId="2E279C20" w14:textId="4F7EDE1A" w:rsidR="000F6F1D" w:rsidRDefault="00396BFB" w:rsidP="00396BFB">
      <w:pPr>
        <w:spacing w:line="360" w:lineRule="auto"/>
        <w:jc w:val="both"/>
        <w:rPr>
          <w:rFonts w:ascii="Arial" w:hAnsi="Arial" w:cs="Arial"/>
        </w:rPr>
      </w:pPr>
      <w:r>
        <w:rPr>
          <w:rFonts w:ascii="Arial" w:hAnsi="Arial" w:cs="Arial"/>
          <w:b/>
          <w:sz w:val="18"/>
        </w:rPr>
        <w:t xml:space="preserve">     </w:t>
      </w:r>
      <w:r w:rsidR="000F6F1D" w:rsidRPr="00412011">
        <w:rPr>
          <w:rFonts w:ascii="Arial" w:hAnsi="Arial" w:cs="Arial"/>
          <w:b/>
          <w:sz w:val="18"/>
        </w:rPr>
        <w:t>Fuente:</w:t>
      </w:r>
      <w:r w:rsidR="000F6F1D" w:rsidRPr="00412011">
        <w:rPr>
          <w:rFonts w:ascii="Arial" w:hAnsi="Arial" w:cs="Arial"/>
          <w:sz w:val="18"/>
        </w:rPr>
        <w:t xml:space="preserve"> Elaboración propia con base en </w:t>
      </w:r>
      <w:r w:rsidR="000F6F1D">
        <w:rPr>
          <w:rFonts w:ascii="Arial" w:hAnsi="Arial" w:cs="Arial"/>
          <w:sz w:val="18"/>
        </w:rPr>
        <w:t xml:space="preserve">Gonzáles </w:t>
      </w:r>
      <w:r w:rsidR="00063D0E">
        <w:rPr>
          <w:rFonts w:ascii="Arial" w:hAnsi="Arial" w:cs="Arial"/>
          <w:i/>
          <w:sz w:val="18"/>
        </w:rPr>
        <w:t>et</w:t>
      </w:r>
      <w:r w:rsidR="000F6F1D" w:rsidRPr="00CC0FE0">
        <w:rPr>
          <w:rFonts w:ascii="Arial" w:hAnsi="Arial" w:cs="Arial"/>
          <w:i/>
          <w:sz w:val="18"/>
        </w:rPr>
        <w:t xml:space="preserve"> al.</w:t>
      </w:r>
      <w:r w:rsidR="000F6F1D">
        <w:rPr>
          <w:rFonts w:ascii="Arial" w:hAnsi="Arial" w:cs="Arial"/>
          <w:sz w:val="18"/>
        </w:rPr>
        <w:t xml:space="preserve"> (2015), </w:t>
      </w:r>
      <w:r w:rsidR="000F6F1D" w:rsidRPr="00412011">
        <w:rPr>
          <w:rFonts w:ascii="Arial" w:hAnsi="Arial" w:cs="Arial"/>
          <w:sz w:val="18"/>
        </w:rPr>
        <w:t>SSA</w:t>
      </w:r>
      <w:r w:rsidR="000F6F1D">
        <w:rPr>
          <w:rFonts w:ascii="Arial" w:hAnsi="Arial" w:cs="Arial"/>
          <w:sz w:val="18"/>
        </w:rPr>
        <w:t xml:space="preserve"> (s.f. a y 2019)</w:t>
      </w:r>
      <w:r w:rsidR="000F6F1D" w:rsidRPr="00412011">
        <w:rPr>
          <w:rFonts w:ascii="Arial" w:hAnsi="Arial" w:cs="Arial"/>
          <w:sz w:val="18"/>
        </w:rPr>
        <w:t xml:space="preserve"> y CONAPO</w:t>
      </w:r>
      <w:r w:rsidR="000F6F1D">
        <w:rPr>
          <w:rFonts w:ascii="Arial" w:hAnsi="Arial" w:cs="Arial"/>
          <w:sz w:val="18"/>
        </w:rPr>
        <w:t xml:space="preserve"> (2018)</w:t>
      </w:r>
      <w:r w:rsidR="000F6F1D" w:rsidRPr="00412011">
        <w:rPr>
          <w:rFonts w:ascii="Arial" w:hAnsi="Arial" w:cs="Arial"/>
          <w:sz w:val="18"/>
        </w:rPr>
        <w:t>.</w:t>
      </w:r>
    </w:p>
    <w:p w14:paraId="409D54FC" w14:textId="55B8CFD1" w:rsidR="000F6F1D" w:rsidRDefault="000F6F1D" w:rsidP="000F6F1D">
      <w:pPr>
        <w:spacing w:line="360" w:lineRule="auto"/>
        <w:jc w:val="both"/>
        <w:rPr>
          <w:rFonts w:ascii="Arial" w:hAnsi="Arial" w:cs="Arial"/>
        </w:rPr>
      </w:pPr>
      <w:r>
        <w:rPr>
          <w:rFonts w:ascii="Arial" w:hAnsi="Arial" w:cs="Arial"/>
        </w:rPr>
        <w:t xml:space="preserve">Por lo anterior, se puede afirmar que la mala distribución de la fuerza laboral de los especialistas es resultado de </w:t>
      </w:r>
      <w:r w:rsidRPr="00B301DB">
        <w:rPr>
          <w:rFonts w:ascii="Arial" w:hAnsi="Arial" w:cs="Arial"/>
        </w:rPr>
        <w:t>la indefinición de un modelo de atenci</w:t>
      </w:r>
      <w:r>
        <w:rPr>
          <w:rFonts w:ascii="Arial" w:hAnsi="Arial" w:cs="Arial"/>
        </w:rPr>
        <w:t xml:space="preserve">ón que determine explícitamente </w:t>
      </w:r>
      <w:r w:rsidRPr="00B301DB">
        <w:rPr>
          <w:rFonts w:ascii="Arial" w:hAnsi="Arial" w:cs="Arial"/>
        </w:rPr>
        <w:t>la cantidad, composición y distri</w:t>
      </w:r>
      <w:r>
        <w:rPr>
          <w:rFonts w:ascii="Arial" w:hAnsi="Arial" w:cs="Arial"/>
        </w:rPr>
        <w:t>bución regional de l</w:t>
      </w:r>
      <w:r w:rsidRPr="00B301DB">
        <w:rPr>
          <w:rFonts w:ascii="Arial" w:hAnsi="Arial" w:cs="Arial"/>
        </w:rPr>
        <w:t>os mé</w:t>
      </w:r>
      <w:r>
        <w:rPr>
          <w:rFonts w:ascii="Arial" w:hAnsi="Arial" w:cs="Arial"/>
        </w:rPr>
        <w:t xml:space="preserve">dicos generales y especialistas </w:t>
      </w:r>
      <w:r w:rsidRPr="00B301DB">
        <w:rPr>
          <w:rFonts w:ascii="Arial" w:hAnsi="Arial" w:cs="Arial"/>
        </w:rPr>
        <w:t>que se requieren para atender los r</w:t>
      </w:r>
      <w:r>
        <w:rPr>
          <w:rFonts w:ascii="Arial" w:hAnsi="Arial" w:cs="Arial"/>
        </w:rPr>
        <w:t xml:space="preserve">iesgos de enfermar y la demanda </w:t>
      </w:r>
      <w:r w:rsidRPr="00B301DB">
        <w:rPr>
          <w:rFonts w:ascii="Arial" w:hAnsi="Arial" w:cs="Arial"/>
        </w:rPr>
        <w:t>de ser</w:t>
      </w:r>
      <w:r>
        <w:rPr>
          <w:rFonts w:ascii="Arial" w:hAnsi="Arial" w:cs="Arial"/>
        </w:rPr>
        <w:t>vicios por parte de las poblaciones en lugares y en los tiempos específicos</w:t>
      </w:r>
      <w:r>
        <w:rPr>
          <w:rStyle w:val="Refdenotaalpie"/>
          <w:rFonts w:ascii="Arial" w:hAnsi="Arial" w:cs="Arial"/>
        </w:rPr>
        <w:footnoteReference w:id="54"/>
      </w:r>
      <w:r>
        <w:rPr>
          <w:rFonts w:ascii="Arial" w:hAnsi="Arial" w:cs="Arial"/>
        </w:rPr>
        <w:t xml:space="preserve">. Por ejemplo, se observa una alta concentración de los especialistas en las entidades de las primeras metrópolis del país (Ciudad de México, Jalisco y Nuevo León), así como en la zona centro del país; sin embargo, el mayor volumen de nacimientos se concentra en la región sureste del </w:t>
      </w:r>
      <w:r w:rsidR="003F04BE">
        <w:rPr>
          <w:rFonts w:ascii="Arial" w:hAnsi="Arial" w:cs="Arial"/>
        </w:rPr>
        <w:t>país,</w:t>
      </w:r>
      <w:r>
        <w:rPr>
          <w:rFonts w:ascii="Arial" w:hAnsi="Arial" w:cs="Arial"/>
        </w:rPr>
        <w:t xml:space="preserve"> así como en algunas entidades del norte; asimismo, el mayor número de unidades de neonatología se encuentra en la región sureste, pero la oferta de estos especialistas es mínima. Por lo tanto, lo anterior sugiere un modelo polarizado tanto de oferta y demanda laboral de los especialistas, así como de su posible rendimiento laboral.</w:t>
      </w:r>
    </w:p>
    <w:p w14:paraId="6ED22DD2" w14:textId="595AA35F" w:rsidR="000F6F1D" w:rsidRDefault="000F6F1D" w:rsidP="000F6F1D">
      <w:pPr>
        <w:spacing w:line="360" w:lineRule="auto"/>
        <w:jc w:val="both"/>
        <w:rPr>
          <w:rFonts w:ascii="Arial" w:hAnsi="Arial" w:cs="Arial"/>
        </w:rPr>
      </w:pPr>
      <w:r>
        <w:rPr>
          <w:rFonts w:ascii="Arial" w:hAnsi="Arial" w:cs="Arial"/>
        </w:rPr>
        <w:t xml:space="preserve">Finalmente, las estadísticas y expertos sugieren que la evolución de los </w:t>
      </w:r>
      <w:r w:rsidRPr="00B301DB">
        <w:rPr>
          <w:rFonts w:ascii="Arial" w:hAnsi="Arial" w:cs="Arial"/>
        </w:rPr>
        <w:t>médicos especialistas ha sido, generalmente, inercial</w:t>
      </w:r>
      <w:r>
        <w:rPr>
          <w:rFonts w:ascii="Arial" w:hAnsi="Arial" w:cs="Arial"/>
        </w:rPr>
        <w:t xml:space="preserve">; además, se plantea la existencia una amplia </w:t>
      </w:r>
      <w:r>
        <w:rPr>
          <w:rFonts w:ascii="Arial" w:hAnsi="Arial" w:cs="Arial"/>
        </w:rPr>
        <w:lastRenderedPageBreak/>
        <w:t xml:space="preserve">heterogeneidad en relación </w:t>
      </w:r>
      <w:r w:rsidRPr="003C4905">
        <w:rPr>
          <w:rFonts w:ascii="Arial" w:hAnsi="Arial" w:cs="Arial"/>
        </w:rPr>
        <w:t xml:space="preserve">a la capacidad de formación de personal profesional, el </w:t>
      </w:r>
      <w:r>
        <w:rPr>
          <w:rFonts w:ascii="Arial" w:hAnsi="Arial" w:cs="Arial"/>
        </w:rPr>
        <w:t xml:space="preserve">tipo de escuelas que los forman </w:t>
      </w:r>
      <w:r w:rsidRPr="003C4905">
        <w:rPr>
          <w:rFonts w:ascii="Arial" w:hAnsi="Arial" w:cs="Arial"/>
        </w:rPr>
        <w:t>y la calidad con lo que lo hacen</w:t>
      </w:r>
      <w:r>
        <w:rPr>
          <w:rStyle w:val="Refdenotaalpie"/>
          <w:rFonts w:ascii="Arial" w:hAnsi="Arial" w:cs="Arial"/>
        </w:rPr>
        <w:footnoteReference w:id="55"/>
      </w:r>
      <w:r>
        <w:rPr>
          <w:rFonts w:ascii="Arial" w:hAnsi="Arial" w:cs="Arial"/>
        </w:rPr>
        <w:t xml:space="preserve">. En resumen, se puede afirmar que el incremento </w:t>
      </w:r>
      <w:r w:rsidRPr="00B301DB">
        <w:rPr>
          <w:rFonts w:ascii="Arial" w:hAnsi="Arial" w:cs="Arial"/>
        </w:rPr>
        <w:t>o</w:t>
      </w:r>
      <w:r>
        <w:rPr>
          <w:rFonts w:ascii="Arial" w:hAnsi="Arial" w:cs="Arial"/>
        </w:rPr>
        <w:t xml:space="preserve"> la falta –así como la formación–</w:t>
      </w:r>
      <w:r w:rsidRPr="00B301DB">
        <w:rPr>
          <w:rFonts w:ascii="Arial" w:hAnsi="Arial" w:cs="Arial"/>
        </w:rPr>
        <w:t xml:space="preserve"> de especialistas no ha guardado la relación suficiente con el crecimiento poblacional,</w:t>
      </w:r>
      <w:r>
        <w:rPr>
          <w:rFonts w:ascii="Arial" w:hAnsi="Arial" w:cs="Arial"/>
        </w:rPr>
        <w:t xml:space="preserve"> la evolución de las estructuras etarias tanto a nivel nacional como local,</w:t>
      </w:r>
      <w:r w:rsidRPr="00B301DB">
        <w:rPr>
          <w:rFonts w:ascii="Arial" w:hAnsi="Arial" w:cs="Arial"/>
        </w:rPr>
        <w:t xml:space="preserve"> ni</w:t>
      </w:r>
      <w:r>
        <w:rPr>
          <w:rFonts w:ascii="Arial" w:hAnsi="Arial" w:cs="Arial"/>
        </w:rPr>
        <w:t xml:space="preserve"> a</w:t>
      </w:r>
      <w:r w:rsidRPr="00B301DB">
        <w:rPr>
          <w:rFonts w:ascii="Arial" w:hAnsi="Arial" w:cs="Arial"/>
        </w:rPr>
        <w:t xml:space="preserve"> las modificaciones del esquema de morbimortalidad nacional, así como con los modelos de atención y el uso de servicios médicos</w:t>
      </w:r>
      <w:r>
        <w:rPr>
          <w:rFonts w:ascii="Arial" w:hAnsi="Arial" w:cs="Arial"/>
        </w:rPr>
        <w:t>, resultando en una inadecuada planeación de la cobertura de atención médica y, en consecuencia, no se han cubierto –ni se podrán cubrir– las necesidades de atención por parte de médicos especialistas</w:t>
      </w:r>
      <w:r>
        <w:rPr>
          <w:rStyle w:val="Refdenotaalpie"/>
          <w:rFonts w:ascii="Arial" w:hAnsi="Arial" w:cs="Arial"/>
        </w:rPr>
        <w:footnoteReference w:id="56"/>
      </w:r>
      <w:r>
        <w:rPr>
          <w:rFonts w:ascii="Arial" w:hAnsi="Arial" w:cs="Arial"/>
        </w:rPr>
        <w:t>. Aumentar los recursos humanos y físicos de calidad ayudará a prevenir muertes, limitar discapacidades, palear el dolor, promoverá el crecimiento económico y ayudará a lograr máximas ganancias en la salud, bienestar y desarrollo para todos</w:t>
      </w:r>
      <w:r>
        <w:rPr>
          <w:rStyle w:val="Refdenotaalpie"/>
          <w:rFonts w:ascii="Arial" w:hAnsi="Arial" w:cs="Arial"/>
        </w:rPr>
        <w:footnoteReference w:id="57"/>
      </w:r>
      <w:r>
        <w:rPr>
          <w:rFonts w:ascii="Arial" w:hAnsi="Arial" w:cs="Arial"/>
        </w:rPr>
        <w:t>.</w:t>
      </w:r>
      <w:r w:rsidRPr="0039118B">
        <w:t xml:space="preserve"> </w:t>
      </w:r>
      <w:r w:rsidRPr="0039118B">
        <w:rPr>
          <w:rFonts w:ascii="Arial" w:hAnsi="Arial" w:cs="Arial"/>
        </w:rPr>
        <w:t xml:space="preserve">Adicionalmente, las futuras generaciones de </w:t>
      </w:r>
      <w:r>
        <w:rPr>
          <w:rFonts w:ascii="Arial" w:hAnsi="Arial" w:cs="Arial"/>
        </w:rPr>
        <w:t>neonatólogos</w:t>
      </w:r>
      <w:r w:rsidRPr="0039118B">
        <w:rPr>
          <w:rFonts w:ascii="Arial" w:hAnsi="Arial" w:cs="Arial"/>
        </w:rPr>
        <w:t>–para ser vigentes– deberán tener una sólida formación, un ágil acceso a la información, a programas de educación continua por medios electrónicos, a la enseñanza virtual, a entrenamiento en simuladores y a producir conocimiento a través de la investigación, así como a estar comprometidos en la enseñanza de la medicina y su especialidad, sin dejar de lado el entorno normativo, ético, moral y bioético que debe regir su desarrollo profesional.</w:t>
      </w:r>
      <w:r>
        <w:rPr>
          <w:rFonts w:ascii="Arial" w:hAnsi="Arial" w:cs="Arial"/>
        </w:rPr>
        <w:t xml:space="preserve"> </w:t>
      </w:r>
      <w:r w:rsidRPr="00250A08">
        <w:rPr>
          <w:rFonts w:ascii="Arial" w:hAnsi="Arial" w:cs="Arial"/>
        </w:rPr>
        <w:t xml:space="preserve">La educación </w:t>
      </w:r>
      <w:r>
        <w:rPr>
          <w:rFonts w:ascii="Arial" w:hAnsi="Arial" w:cs="Arial"/>
        </w:rPr>
        <w:t xml:space="preserve">de los especialistas en neonatología </w:t>
      </w:r>
      <w:r w:rsidRPr="00250A08">
        <w:rPr>
          <w:rFonts w:ascii="Arial" w:hAnsi="Arial" w:cs="Arial"/>
        </w:rPr>
        <w:t>se debe de</w:t>
      </w:r>
      <w:r>
        <w:rPr>
          <w:rFonts w:ascii="Arial" w:hAnsi="Arial" w:cs="Arial"/>
        </w:rPr>
        <w:t xml:space="preserve"> </w:t>
      </w:r>
      <w:r w:rsidRPr="00250A08">
        <w:rPr>
          <w:rFonts w:ascii="Arial" w:hAnsi="Arial" w:cs="Arial"/>
        </w:rPr>
        <w:t>abordar</w:t>
      </w:r>
      <w:r>
        <w:rPr>
          <w:rFonts w:ascii="Arial" w:hAnsi="Arial" w:cs="Arial"/>
        </w:rPr>
        <w:t xml:space="preserve"> como una necesidad prioritaria, ya q</w:t>
      </w:r>
      <w:r w:rsidRPr="00250A08">
        <w:rPr>
          <w:rFonts w:ascii="Arial" w:hAnsi="Arial" w:cs="Arial"/>
        </w:rPr>
        <w:t xml:space="preserve">ue se </w:t>
      </w:r>
      <w:r>
        <w:rPr>
          <w:rFonts w:ascii="Arial" w:hAnsi="Arial" w:cs="Arial"/>
        </w:rPr>
        <w:t xml:space="preserve">requieren </w:t>
      </w:r>
      <w:r w:rsidRPr="00250A08">
        <w:rPr>
          <w:rFonts w:ascii="Arial" w:hAnsi="Arial" w:cs="Arial"/>
        </w:rPr>
        <w:t>nuevos paradigmas, estrategias y</w:t>
      </w:r>
      <w:r>
        <w:rPr>
          <w:rFonts w:ascii="Arial" w:hAnsi="Arial" w:cs="Arial"/>
        </w:rPr>
        <w:t xml:space="preserve"> </w:t>
      </w:r>
      <w:r w:rsidRPr="00250A08">
        <w:rPr>
          <w:rFonts w:ascii="Arial" w:hAnsi="Arial" w:cs="Arial"/>
        </w:rPr>
        <w:t>acciones para la mejor calidad de atención en los recién</w:t>
      </w:r>
      <w:r>
        <w:rPr>
          <w:rFonts w:ascii="Arial" w:hAnsi="Arial" w:cs="Arial"/>
        </w:rPr>
        <w:t xml:space="preserve"> </w:t>
      </w:r>
      <w:r w:rsidRPr="00250A08">
        <w:rPr>
          <w:rFonts w:ascii="Arial" w:hAnsi="Arial" w:cs="Arial"/>
        </w:rPr>
        <w:t>nacidos</w:t>
      </w:r>
      <w:r>
        <w:rPr>
          <w:rStyle w:val="Refdenotaalpie"/>
          <w:rFonts w:ascii="Arial" w:hAnsi="Arial" w:cs="Arial"/>
        </w:rPr>
        <w:footnoteReference w:id="58"/>
      </w:r>
      <w:r w:rsidRPr="00250A08">
        <w:rPr>
          <w:rFonts w:ascii="Arial" w:hAnsi="Arial" w:cs="Arial"/>
        </w:rPr>
        <w:t>.</w:t>
      </w:r>
    </w:p>
    <w:p w14:paraId="629191CA" w14:textId="77777777" w:rsidR="00CE6011" w:rsidRDefault="005B44CA" w:rsidP="004A1D76">
      <w:pPr>
        <w:spacing w:line="360" w:lineRule="auto"/>
        <w:jc w:val="both"/>
        <w:rPr>
          <w:rFonts w:ascii="Arial" w:hAnsi="Arial" w:cs="Arial"/>
          <w:b/>
        </w:rPr>
      </w:pPr>
      <w:r>
        <w:rPr>
          <w:rFonts w:ascii="Arial" w:hAnsi="Arial" w:cs="Arial"/>
          <w:b/>
        </w:rPr>
        <w:t>II</w:t>
      </w:r>
      <w:r w:rsidR="006046FB">
        <w:rPr>
          <w:rFonts w:ascii="Arial" w:hAnsi="Arial" w:cs="Arial"/>
          <w:b/>
        </w:rPr>
        <w:t>I</w:t>
      </w:r>
      <w:r>
        <w:rPr>
          <w:rFonts w:ascii="Arial" w:hAnsi="Arial" w:cs="Arial"/>
          <w:b/>
        </w:rPr>
        <w:t xml:space="preserve">. </w:t>
      </w:r>
      <w:r w:rsidR="00CE6011" w:rsidRPr="00CE6011">
        <w:rPr>
          <w:rFonts w:ascii="Arial" w:hAnsi="Arial" w:cs="Arial"/>
          <w:b/>
        </w:rPr>
        <w:t>MARCO NORMATIVO</w:t>
      </w:r>
    </w:p>
    <w:p w14:paraId="0592E879" w14:textId="3BB59E8D" w:rsidR="00CE6011" w:rsidRPr="00CA1BB8" w:rsidRDefault="009025AA" w:rsidP="00CE6011">
      <w:pPr>
        <w:spacing w:after="0" w:line="360" w:lineRule="auto"/>
        <w:jc w:val="both"/>
        <w:rPr>
          <w:rFonts w:ascii="Arial" w:hAnsi="Arial" w:cs="Arial"/>
          <w:b/>
          <w:smallCaps/>
          <w:color w:val="000000" w:themeColor="text1"/>
        </w:rPr>
      </w:pPr>
      <w:r>
        <w:rPr>
          <w:rFonts w:ascii="Arial" w:hAnsi="Arial" w:cs="Arial"/>
          <w:b/>
          <w:smallCaps/>
          <w:color w:val="000000" w:themeColor="text1"/>
        </w:rPr>
        <w:t xml:space="preserve">3.1. </w:t>
      </w:r>
      <w:r w:rsidR="00CE6011" w:rsidRPr="00CA1BB8">
        <w:rPr>
          <w:rFonts w:ascii="Arial" w:hAnsi="Arial" w:cs="Arial"/>
          <w:b/>
          <w:smallCaps/>
          <w:color w:val="000000" w:themeColor="text1"/>
        </w:rPr>
        <w:t>Constitución Política de los Estados Unidos Mexicanos</w:t>
      </w:r>
    </w:p>
    <w:p w14:paraId="6FED279F" w14:textId="77777777" w:rsidR="00CE6011" w:rsidRPr="00CA1BB8" w:rsidRDefault="00CE6011" w:rsidP="00CE6011">
      <w:pPr>
        <w:spacing w:after="0" w:line="360" w:lineRule="auto"/>
        <w:jc w:val="both"/>
        <w:rPr>
          <w:rFonts w:ascii="Arial" w:hAnsi="Arial" w:cs="Arial"/>
          <w:color w:val="000000" w:themeColor="text1"/>
          <w:lang w:eastAsia="es-MX"/>
        </w:rPr>
      </w:pPr>
      <w:r w:rsidRPr="00CA1BB8">
        <w:rPr>
          <w:rFonts w:ascii="Arial" w:hAnsi="Arial" w:cs="Arial"/>
          <w:b/>
          <w:smallCaps/>
          <w:color w:val="000000" w:themeColor="text1"/>
        </w:rPr>
        <w:t>Artículo 3°</w:t>
      </w:r>
      <w:r w:rsidR="00DB4EE3">
        <w:rPr>
          <w:rFonts w:ascii="Arial" w:hAnsi="Arial" w:cs="Arial"/>
          <w:b/>
          <w:smallCaps/>
          <w:color w:val="000000" w:themeColor="text1"/>
        </w:rPr>
        <w:t xml:space="preserve"> </w:t>
      </w:r>
      <w:r w:rsidRPr="00E454FB">
        <w:rPr>
          <w:rStyle w:val="Refdenotaalpie"/>
          <w:rFonts w:ascii="Arial" w:hAnsi="Arial"/>
          <w:smallCaps/>
          <w:color w:val="000000" w:themeColor="text1"/>
        </w:rPr>
        <w:footnoteReference w:id="59"/>
      </w:r>
      <w:r w:rsidRPr="00CA1BB8">
        <w:rPr>
          <w:rFonts w:ascii="Arial" w:hAnsi="Arial" w:cs="Arial"/>
          <w:smallCaps/>
          <w:color w:val="000000" w:themeColor="text1"/>
        </w:rPr>
        <w:t>.</w:t>
      </w:r>
      <w:r w:rsidRPr="00CA1BB8">
        <w:rPr>
          <w:rFonts w:ascii="Arial" w:hAnsi="Arial" w:cs="Arial"/>
          <w:color w:val="000000" w:themeColor="text1"/>
        </w:rPr>
        <w:t xml:space="preserve"> Todo individuo tiene derecho a recibir Educación. El Estado –Federación, Estados, </w:t>
      </w:r>
      <w:r>
        <w:rPr>
          <w:rFonts w:ascii="Arial" w:hAnsi="Arial" w:cs="Arial"/>
          <w:color w:val="000000" w:themeColor="text1"/>
        </w:rPr>
        <w:t>Ciudad de México</w:t>
      </w:r>
      <w:r w:rsidRPr="00CA1BB8">
        <w:rPr>
          <w:rFonts w:ascii="Arial" w:hAnsi="Arial" w:cs="Arial"/>
          <w:color w:val="000000" w:themeColor="text1"/>
        </w:rPr>
        <w:t xml:space="preserve"> y Municipios–, </w:t>
      </w:r>
      <w:r w:rsidRPr="00E454FB">
        <w:rPr>
          <w:rFonts w:ascii="Arial" w:hAnsi="Arial" w:cs="Arial"/>
          <w:color w:val="000000" w:themeColor="text1"/>
        </w:rPr>
        <w:t>impartirá educación preescolar, primaria, secundaria y media superior. La educación preescolar, primaria y secundaria conforman la educación básica; ésta y la media superior serán obligatorias</w:t>
      </w:r>
      <w:r w:rsidRPr="00CA1BB8">
        <w:rPr>
          <w:rFonts w:ascii="Arial" w:hAnsi="Arial" w:cs="Arial"/>
          <w:color w:val="000000" w:themeColor="text1"/>
        </w:rPr>
        <w:t>.</w:t>
      </w:r>
    </w:p>
    <w:p w14:paraId="7815EB68" w14:textId="77777777" w:rsidR="00CE6011" w:rsidRPr="00CA1BB8" w:rsidRDefault="00CE6011" w:rsidP="00CE6011">
      <w:pPr>
        <w:spacing w:after="0" w:line="360" w:lineRule="auto"/>
        <w:jc w:val="both"/>
        <w:rPr>
          <w:rFonts w:ascii="Arial" w:hAnsi="Arial" w:cs="Arial"/>
          <w:color w:val="000000" w:themeColor="text1"/>
        </w:rPr>
      </w:pPr>
      <w:r w:rsidRPr="00E454FB">
        <w:rPr>
          <w:rFonts w:ascii="Arial" w:hAnsi="Arial" w:cs="Arial"/>
          <w:color w:val="000000" w:themeColor="text1"/>
        </w:rPr>
        <w:lastRenderedPageBreak/>
        <w:t>La educación que imparta el Estado tenderá a desarrollar armónicamente, todas las facultades del ser humano y fomentará en él, a la vez, el amor a la Patria, el respeto a los derechos humanos y la conciencia de la solidaridad internacional, en la independencia y en la justicia</w:t>
      </w:r>
      <w:r>
        <w:rPr>
          <w:rStyle w:val="Refdenotaalpie"/>
          <w:rFonts w:ascii="Arial" w:hAnsi="Arial"/>
          <w:color w:val="000000" w:themeColor="text1"/>
        </w:rPr>
        <w:footnoteReference w:id="60"/>
      </w:r>
      <w:r w:rsidRPr="00E454FB">
        <w:rPr>
          <w:rFonts w:ascii="Arial" w:hAnsi="Arial" w:cs="Arial"/>
          <w:color w:val="000000" w:themeColor="text1"/>
        </w:rPr>
        <w:t>.</w:t>
      </w:r>
    </w:p>
    <w:p w14:paraId="7BF4DD4E" w14:textId="77777777" w:rsidR="00CE6011" w:rsidRPr="00CA1BB8" w:rsidRDefault="00CE6011" w:rsidP="00CE6011">
      <w:pPr>
        <w:spacing w:after="0" w:line="360" w:lineRule="auto"/>
        <w:jc w:val="both"/>
        <w:rPr>
          <w:rFonts w:ascii="Arial" w:hAnsi="Arial" w:cs="Arial"/>
          <w:color w:val="000000" w:themeColor="text1"/>
          <w:lang w:eastAsia="es-MX"/>
        </w:rPr>
      </w:pPr>
      <w:r w:rsidRPr="00CA1BB8">
        <w:rPr>
          <w:rFonts w:ascii="Arial" w:hAnsi="Arial" w:cs="Arial"/>
          <w:color w:val="000000" w:themeColor="text1"/>
        </w:rPr>
        <w:t>I. Garantizada por el artículo 24 la libertad de creencias, dicha Educación será laica y, por tanto, se mantendrá por completo ajena a cualquier doctrina religiosa</w:t>
      </w:r>
      <w:r w:rsidRPr="00CA1BB8">
        <w:rPr>
          <w:rStyle w:val="Refdenotaalpie"/>
          <w:rFonts w:ascii="Arial" w:hAnsi="Arial" w:cs="Arial"/>
          <w:color w:val="000000" w:themeColor="text1"/>
        </w:rPr>
        <w:footnoteReference w:id="61"/>
      </w:r>
      <w:r w:rsidRPr="00CA1BB8">
        <w:rPr>
          <w:rFonts w:ascii="Arial" w:hAnsi="Arial" w:cs="Arial"/>
          <w:color w:val="000000" w:themeColor="text1"/>
        </w:rPr>
        <w:t xml:space="preserve">. </w:t>
      </w:r>
    </w:p>
    <w:p w14:paraId="7BDAE228" w14:textId="77777777" w:rsidR="00CE6011" w:rsidRPr="00CA1BB8" w:rsidRDefault="00CE6011" w:rsidP="00CE6011">
      <w:pPr>
        <w:spacing w:after="0" w:line="360" w:lineRule="auto"/>
        <w:jc w:val="both"/>
        <w:rPr>
          <w:rFonts w:ascii="Arial" w:hAnsi="Arial" w:cs="Arial"/>
          <w:color w:val="000000" w:themeColor="text1"/>
          <w:lang w:eastAsia="es-MX"/>
        </w:rPr>
      </w:pPr>
      <w:r w:rsidRPr="00CA1BB8">
        <w:rPr>
          <w:rFonts w:ascii="Arial" w:hAnsi="Arial" w:cs="Arial"/>
          <w:color w:val="000000" w:themeColor="text1"/>
        </w:rPr>
        <w:t>II. El criterio que orientará a esa Educación se basará en los resultados del progreso científico, luchará contra la ignorancia y sus efectos, las servidumbres, los fanatismos y los prejuicios</w:t>
      </w:r>
      <w:r w:rsidRPr="00CA1BB8">
        <w:rPr>
          <w:rStyle w:val="Refdenotaalpie"/>
          <w:rFonts w:ascii="Arial" w:hAnsi="Arial" w:cs="Arial"/>
          <w:color w:val="000000" w:themeColor="text1"/>
        </w:rPr>
        <w:footnoteReference w:id="62"/>
      </w:r>
      <w:r w:rsidRPr="00CA1BB8">
        <w:rPr>
          <w:rFonts w:ascii="Arial" w:hAnsi="Arial" w:cs="Arial"/>
          <w:color w:val="000000" w:themeColor="text1"/>
        </w:rPr>
        <w:t xml:space="preserve">. </w:t>
      </w:r>
    </w:p>
    <w:p w14:paraId="17231D3B" w14:textId="77777777" w:rsidR="00CE6011" w:rsidRPr="00CA1BB8" w:rsidRDefault="00CE6011" w:rsidP="00CE6011">
      <w:pPr>
        <w:spacing w:after="0" w:line="360" w:lineRule="auto"/>
        <w:jc w:val="both"/>
        <w:rPr>
          <w:rFonts w:ascii="Arial" w:hAnsi="Arial" w:cs="Arial"/>
          <w:color w:val="000000" w:themeColor="text1"/>
          <w:lang w:eastAsia="es-MX"/>
        </w:rPr>
      </w:pPr>
      <w:r w:rsidRPr="00CA1BB8">
        <w:rPr>
          <w:rFonts w:ascii="Arial" w:hAnsi="Arial" w:cs="Arial"/>
          <w:color w:val="000000" w:themeColor="text1"/>
        </w:rPr>
        <w:t xml:space="preserve">Además: </w:t>
      </w:r>
    </w:p>
    <w:p w14:paraId="39252E49" w14:textId="77777777" w:rsidR="00CE6011" w:rsidRPr="00CA1BB8" w:rsidRDefault="00CE6011" w:rsidP="00CE6011">
      <w:pPr>
        <w:spacing w:after="0" w:line="360" w:lineRule="auto"/>
        <w:ind w:left="708"/>
        <w:jc w:val="both"/>
        <w:rPr>
          <w:rFonts w:ascii="Arial" w:hAnsi="Arial" w:cs="Arial"/>
          <w:color w:val="000000" w:themeColor="text1"/>
          <w:lang w:eastAsia="es-MX"/>
        </w:rPr>
      </w:pPr>
      <w:r w:rsidRPr="00CA1BB8">
        <w:rPr>
          <w:rFonts w:ascii="Arial" w:hAnsi="Arial" w:cs="Arial"/>
          <w:color w:val="000000" w:themeColor="text1"/>
        </w:rPr>
        <w:t xml:space="preserve">A) Será democrático, considerando a la democracia no solamente como una estructura jurídica y un régimen político, sino como un sistema de vida fundado en el constante mejoramiento económico, social y cultural del pueblo. </w:t>
      </w:r>
    </w:p>
    <w:p w14:paraId="626D75CB" w14:textId="77777777" w:rsidR="00CE6011" w:rsidRDefault="00CE6011" w:rsidP="00CE6011">
      <w:pPr>
        <w:spacing w:after="0" w:line="360" w:lineRule="auto"/>
        <w:ind w:left="708"/>
        <w:jc w:val="both"/>
        <w:rPr>
          <w:rFonts w:ascii="Arial" w:hAnsi="Arial" w:cs="Arial"/>
          <w:color w:val="000000" w:themeColor="text1"/>
        </w:rPr>
      </w:pPr>
      <w:r w:rsidRPr="00CA1BB8">
        <w:rPr>
          <w:rFonts w:ascii="Arial" w:hAnsi="Arial" w:cs="Arial"/>
          <w:color w:val="000000" w:themeColor="text1"/>
        </w:rPr>
        <w:t xml:space="preserve">B) Será </w:t>
      </w:r>
      <w:r>
        <w:rPr>
          <w:rFonts w:ascii="Arial" w:hAnsi="Arial" w:cs="Arial"/>
          <w:color w:val="000000" w:themeColor="text1"/>
        </w:rPr>
        <w:t>n</w:t>
      </w:r>
      <w:r w:rsidRPr="00CA1BB8">
        <w:rPr>
          <w:rFonts w:ascii="Arial" w:hAnsi="Arial" w:cs="Arial"/>
          <w:color w:val="000000" w:themeColor="text1"/>
        </w:rPr>
        <w:t>acional, en cuanto – sin hostilidades ni exclusivismos- atenderá a la comprensión de nuestros problemas, al aprovechamiento de nuestros problemas, al aprovechamiento de nuestros recursos, a la defensa de nuestra independencia política, al aseguramiento de nuestra independencia económica y a la continuidad y acrecentamiento de nuestra cult</w:t>
      </w:r>
      <w:r>
        <w:rPr>
          <w:rFonts w:ascii="Arial" w:hAnsi="Arial" w:cs="Arial"/>
          <w:color w:val="000000" w:themeColor="text1"/>
        </w:rPr>
        <w:t>ura y,</w:t>
      </w:r>
      <w:r w:rsidRPr="00CA1BB8">
        <w:rPr>
          <w:rFonts w:ascii="Arial" w:hAnsi="Arial" w:cs="Arial"/>
          <w:color w:val="000000" w:themeColor="text1"/>
        </w:rPr>
        <w:t xml:space="preserve"> </w:t>
      </w:r>
    </w:p>
    <w:p w14:paraId="496DEE86" w14:textId="5A767C9E" w:rsidR="00CE6011" w:rsidRPr="00CA1BB8" w:rsidRDefault="00CE6011" w:rsidP="009025AA">
      <w:pPr>
        <w:spacing w:after="0" w:line="360" w:lineRule="auto"/>
        <w:ind w:left="708"/>
        <w:jc w:val="both"/>
        <w:rPr>
          <w:rFonts w:ascii="Arial" w:hAnsi="Arial" w:cs="Arial"/>
          <w:color w:val="000000" w:themeColor="text1"/>
          <w:lang w:eastAsia="es-MX"/>
        </w:rPr>
      </w:pPr>
      <w:r w:rsidRPr="00CA1BB8">
        <w:rPr>
          <w:rFonts w:ascii="Arial" w:hAnsi="Arial" w:cs="Arial"/>
          <w:color w:val="000000" w:themeColor="text1"/>
        </w:rPr>
        <w:t>C)</w:t>
      </w:r>
      <w:r>
        <w:rPr>
          <w:rFonts w:ascii="Arial" w:hAnsi="Arial" w:cs="Arial"/>
          <w:color w:val="000000" w:themeColor="text1"/>
        </w:rPr>
        <w:t xml:space="preserve"> C</w:t>
      </w:r>
      <w:r w:rsidRPr="00CA1BB8">
        <w:rPr>
          <w:rFonts w:ascii="Arial" w:hAnsi="Arial" w:cs="Arial"/>
          <w:color w:val="000000" w:themeColor="text1"/>
        </w:rPr>
        <w:t>ontribuirá a la mejor convivencia humana, a fin de fortalecer el aprecio y respeto por la diversidad cultural, la dignidad de la persona, la integridad de la familia,</w:t>
      </w:r>
      <w:r>
        <w:rPr>
          <w:rFonts w:ascii="Arial" w:hAnsi="Arial" w:cs="Arial"/>
          <w:color w:val="000000" w:themeColor="text1"/>
        </w:rPr>
        <w:t xml:space="preserve"> </w:t>
      </w:r>
      <w:r w:rsidRPr="00CA1BB8">
        <w:rPr>
          <w:rFonts w:ascii="Arial" w:hAnsi="Arial" w:cs="Arial"/>
          <w:color w:val="000000" w:themeColor="text1"/>
        </w:rPr>
        <w:t>la convicción del interés general de la sociedad, los ideales de fraternidad e igualdad de derechos de todos, evitando los privilegios de razas, de religión, de grupos, de sexos o de individuos</w:t>
      </w:r>
      <w:r w:rsidRPr="00CA1BB8">
        <w:rPr>
          <w:rStyle w:val="Refdenotaalpie"/>
          <w:rFonts w:ascii="Arial" w:hAnsi="Arial" w:cs="Arial"/>
          <w:color w:val="000000" w:themeColor="text1"/>
        </w:rPr>
        <w:footnoteReference w:id="63"/>
      </w:r>
      <w:r w:rsidR="009025AA">
        <w:rPr>
          <w:rFonts w:ascii="Arial" w:hAnsi="Arial" w:cs="Arial"/>
          <w:color w:val="000000" w:themeColor="text1"/>
        </w:rPr>
        <w:t xml:space="preserve"> </w:t>
      </w:r>
      <w:r>
        <w:rPr>
          <w:rFonts w:ascii="Arial" w:hAnsi="Arial" w:cs="Arial"/>
          <w:color w:val="000000" w:themeColor="text1"/>
          <w:lang w:eastAsia="es-MX"/>
        </w:rPr>
        <w:t>(…)</w:t>
      </w:r>
    </w:p>
    <w:p w14:paraId="3D487EC7" w14:textId="156C9090" w:rsidR="00CE6011" w:rsidRPr="00CA1BB8" w:rsidRDefault="00CE6011" w:rsidP="00CE6011">
      <w:pPr>
        <w:spacing w:after="0" w:line="360" w:lineRule="auto"/>
        <w:jc w:val="both"/>
        <w:rPr>
          <w:rFonts w:ascii="Arial" w:hAnsi="Arial" w:cs="Arial"/>
          <w:color w:val="000000" w:themeColor="text1"/>
        </w:rPr>
      </w:pPr>
      <w:r w:rsidRPr="00CA1BB8">
        <w:rPr>
          <w:rFonts w:ascii="Arial" w:hAnsi="Arial" w:cs="Arial"/>
          <w:color w:val="000000" w:themeColor="text1"/>
        </w:rPr>
        <w:t xml:space="preserve">III. Para dar pleno cumplimiento a lo dispuesto en el segundo párrafo y en la fracción II el </w:t>
      </w:r>
      <w:r>
        <w:rPr>
          <w:rFonts w:ascii="Arial" w:hAnsi="Arial" w:cs="Arial"/>
          <w:color w:val="000000" w:themeColor="text1"/>
        </w:rPr>
        <w:t>E</w:t>
      </w:r>
      <w:r w:rsidRPr="00CA1BB8">
        <w:rPr>
          <w:rFonts w:ascii="Arial" w:hAnsi="Arial" w:cs="Arial"/>
          <w:color w:val="000000" w:themeColor="text1"/>
        </w:rPr>
        <w:t xml:space="preserve">jecutivo </w:t>
      </w:r>
      <w:r>
        <w:rPr>
          <w:rFonts w:ascii="Arial" w:hAnsi="Arial" w:cs="Arial"/>
          <w:color w:val="000000" w:themeColor="text1"/>
        </w:rPr>
        <w:t>F</w:t>
      </w:r>
      <w:r w:rsidRPr="00CA1BB8">
        <w:rPr>
          <w:rFonts w:ascii="Arial" w:hAnsi="Arial" w:cs="Arial"/>
          <w:color w:val="000000" w:themeColor="text1"/>
        </w:rPr>
        <w:t xml:space="preserve">ederal determinará los planes y programas de estudio de la </w:t>
      </w:r>
      <w:r>
        <w:rPr>
          <w:rFonts w:ascii="Arial" w:hAnsi="Arial" w:cs="Arial"/>
          <w:color w:val="000000" w:themeColor="text1"/>
        </w:rPr>
        <w:t>e</w:t>
      </w:r>
      <w:r w:rsidRPr="00CA1BB8">
        <w:rPr>
          <w:rFonts w:ascii="Arial" w:hAnsi="Arial" w:cs="Arial"/>
          <w:color w:val="000000" w:themeColor="text1"/>
        </w:rPr>
        <w:t xml:space="preserve">ducación preescolar, primaria, secundaria y normal para toda la </w:t>
      </w:r>
      <w:r>
        <w:rPr>
          <w:rFonts w:ascii="Arial" w:hAnsi="Arial" w:cs="Arial"/>
          <w:color w:val="000000" w:themeColor="text1"/>
        </w:rPr>
        <w:t>R</w:t>
      </w:r>
      <w:r w:rsidRPr="00CA1BB8">
        <w:rPr>
          <w:rFonts w:ascii="Arial" w:hAnsi="Arial" w:cs="Arial"/>
          <w:color w:val="000000" w:themeColor="text1"/>
        </w:rPr>
        <w:t xml:space="preserve">epública, para tales efectos, el </w:t>
      </w:r>
      <w:r>
        <w:rPr>
          <w:rFonts w:ascii="Arial" w:hAnsi="Arial" w:cs="Arial"/>
          <w:color w:val="000000" w:themeColor="text1"/>
        </w:rPr>
        <w:t>E</w:t>
      </w:r>
      <w:r w:rsidRPr="00CA1BB8">
        <w:rPr>
          <w:rFonts w:ascii="Arial" w:hAnsi="Arial" w:cs="Arial"/>
          <w:color w:val="000000" w:themeColor="text1"/>
        </w:rPr>
        <w:t xml:space="preserve">jecutivo </w:t>
      </w:r>
      <w:r>
        <w:rPr>
          <w:rFonts w:ascii="Arial" w:hAnsi="Arial" w:cs="Arial"/>
          <w:color w:val="000000" w:themeColor="text1"/>
        </w:rPr>
        <w:t>F</w:t>
      </w:r>
      <w:r w:rsidRPr="00CA1BB8">
        <w:rPr>
          <w:rFonts w:ascii="Arial" w:hAnsi="Arial" w:cs="Arial"/>
          <w:color w:val="000000" w:themeColor="text1"/>
        </w:rPr>
        <w:t xml:space="preserve">ederal considerará la opinión de los gobiernos de las entidades federativas, así como de los diversos sectores sociales involucrados en la </w:t>
      </w:r>
      <w:r>
        <w:rPr>
          <w:rFonts w:ascii="Arial" w:hAnsi="Arial" w:cs="Arial"/>
          <w:color w:val="000000" w:themeColor="text1"/>
        </w:rPr>
        <w:t>e</w:t>
      </w:r>
      <w:r w:rsidRPr="00CA1BB8">
        <w:rPr>
          <w:rFonts w:ascii="Arial" w:hAnsi="Arial" w:cs="Arial"/>
          <w:color w:val="000000" w:themeColor="text1"/>
        </w:rPr>
        <w:t>ducación,</w:t>
      </w:r>
      <w:r>
        <w:rPr>
          <w:rFonts w:ascii="Arial" w:hAnsi="Arial" w:cs="Arial"/>
          <w:color w:val="000000" w:themeColor="text1"/>
        </w:rPr>
        <w:t>(…)</w:t>
      </w:r>
      <w:r w:rsidRPr="00CA1BB8">
        <w:rPr>
          <w:rFonts w:ascii="Arial" w:hAnsi="Arial" w:cs="Arial"/>
          <w:color w:val="000000" w:themeColor="text1"/>
        </w:rPr>
        <w:t xml:space="preserve"> en los términos que la ley señale</w:t>
      </w:r>
      <w:r w:rsidRPr="00CA1BB8">
        <w:rPr>
          <w:rStyle w:val="Refdenotaalpie"/>
          <w:rFonts w:ascii="Arial" w:hAnsi="Arial" w:cs="Arial"/>
          <w:color w:val="000000" w:themeColor="text1"/>
        </w:rPr>
        <w:footnoteReference w:id="64"/>
      </w:r>
      <w:r w:rsidR="009025AA">
        <w:rPr>
          <w:rFonts w:ascii="Arial" w:hAnsi="Arial" w:cs="Arial"/>
          <w:color w:val="000000" w:themeColor="text1"/>
        </w:rPr>
        <w:t xml:space="preserve"> </w:t>
      </w:r>
      <w:r>
        <w:rPr>
          <w:rFonts w:ascii="Arial" w:hAnsi="Arial" w:cs="Arial"/>
          <w:color w:val="000000" w:themeColor="text1"/>
          <w:lang w:eastAsia="es-MX"/>
        </w:rPr>
        <w:t>(…)</w:t>
      </w:r>
    </w:p>
    <w:p w14:paraId="2134805F" w14:textId="77777777" w:rsidR="00CE6011" w:rsidRPr="00CA1BB8" w:rsidRDefault="00CE6011" w:rsidP="00CE6011">
      <w:pPr>
        <w:spacing w:after="0" w:line="360" w:lineRule="auto"/>
        <w:jc w:val="both"/>
        <w:rPr>
          <w:rFonts w:ascii="Arial" w:hAnsi="Arial" w:cs="Arial"/>
          <w:color w:val="000000" w:themeColor="text1"/>
        </w:rPr>
      </w:pPr>
      <w:r w:rsidRPr="00CA1BB8">
        <w:rPr>
          <w:rFonts w:ascii="Arial" w:hAnsi="Arial" w:cs="Arial"/>
          <w:color w:val="000000" w:themeColor="text1"/>
        </w:rPr>
        <w:lastRenderedPageBreak/>
        <w:t>IV. Toda la Educación que el estado imparta será gratuita</w:t>
      </w:r>
      <w:r w:rsidRPr="00CA1BB8">
        <w:rPr>
          <w:rStyle w:val="Refdenotaalpie"/>
          <w:rFonts w:ascii="Arial" w:hAnsi="Arial" w:cs="Arial"/>
          <w:color w:val="000000" w:themeColor="text1"/>
        </w:rPr>
        <w:footnoteReference w:id="65"/>
      </w:r>
      <w:r w:rsidRPr="00CA1BB8">
        <w:rPr>
          <w:rFonts w:ascii="Arial" w:hAnsi="Arial" w:cs="Arial"/>
          <w:color w:val="000000" w:themeColor="text1"/>
        </w:rPr>
        <w:t xml:space="preserve">. </w:t>
      </w:r>
    </w:p>
    <w:p w14:paraId="762D7B73" w14:textId="77777777" w:rsidR="00CE6011" w:rsidRPr="00CA1BB8" w:rsidRDefault="00CE6011" w:rsidP="00CE6011">
      <w:pPr>
        <w:spacing w:after="0" w:line="360" w:lineRule="auto"/>
        <w:jc w:val="both"/>
        <w:rPr>
          <w:rFonts w:ascii="Arial" w:hAnsi="Arial" w:cs="Arial"/>
          <w:color w:val="000000" w:themeColor="text1"/>
        </w:rPr>
      </w:pPr>
      <w:r w:rsidRPr="00CA1BB8">
        <w:rPr>
          <w:rFonts w:ascii="Arial" w:hAnsi="Arial" w:cs="Arial"/>
          <w:color w:val="000000" w:themeColor="text1"/>
        </w:rPr>
        <w:t xml:space="preserve">V. Además de impartir la </w:t>
      </w:r>
      <w:r>
        <w:rPr>
          <w:rFonts w:ascii="Arial" w:hAnsi="Arial" w:cs="Arial"/>
          <w:color w:val="000000" w:themeColor="text1"/>
        </w:rPr>
        <w:t>e</w:t>
      </w:r>
      <w:r w:rsidRPr="00CA1BB8">
        <w:rPr>
          <w:rFonts w:ascii="Arial" w:hAnsi="Arial" w:cs="Arial"/>
          <w:color w:val="000000" w:themeColor="text1"/>
        </w:rPr>
        <w:t xml:space="preserve">ducación preescolar, primaria, secundaria y media superior, señaladas en el primer párrafo, el Estado promoverá y atenderá todos los tipos y modalidades educativos – incluyendo la </w:t>
      </w:r>
      <w:r>
        <w:rPr>
          <w:rFonts w:ascii="Arial" w:hAnsi="Arial" w:cs="Arial"/>
          <w:color w:val="000000" w:themeColor="text1"/>
        </w:rPr>
        <w:t>e</w:t>
      </w:r>
      <w:r w:rsidRPr="00CA1BB8">
        <w:rPr>
          <w:rFonts w:ascii="Arial" w:hAnsi="Arial" w:cs="Arial"/>
          <w:color w:val="000000" w:themeColor="text1"/>
        </w:rPr>
        <w:t xml:space="preserve">ducación inicial y a la </w:t>
      </w:r>
      <w:r>
        <w:rPr>
          <w:rFonts w:ascii="Arial" w:hAnsi="Arial" w:cs="Arial"/>
          <w:color w:val="000000" w:themeColor="text1"/>
        </w:rPr>
        <w:t>e</w:t>
      </w:r>
      <w:r w:rsidRPr="00CA1BB8">
        <w:rPr>
          <w:rFonts w:ascii="Arial" w:hAnsi="Arial" w:cs="Arial"/>
          <w:color w:val="000000" w:themeColor="text1"/>
        </w:rPr>
        <w:t xml:space="preserve">ducación </w:t>
      </w:r>
      <w:r>
        <w:rPr>
          <w:rFonts w:ascii="Arial" w:hAnsi="Arial" w:cs="Arial"/>
          <w:color w:val="000000" w:themeColor="text1"/>
        </w:rPr>
        <w:t>s</w:t>
      </w:r>
      <w:r w:rsidRPr="00CA1BB8">
        <w:rPr>
          <w:rFonts w:ascii="Arial" w:hAnsi="Arial" w:cs="Arial"/>
          <w:color w:val="000000" w:themeColor="text1"/>
        </w:rPr>
        <w:t>uperior- necesarios para el desarrollo de la nación, apoyará la investigación científica y tecnológica, y alentará el fortalecimiento y difusión de nuestra cultura</w:t>
      </w:r>
      <w:r w:rsidRPr="00CA1BB8">
        <w:rPr>
          <w:rStyle w:val="Refdenotaalpie"/>
          <w:rFonts w:ascii="Arial" w:hAnsi="Arial" w:cs="Arial"/>
          <w:color w:val="000000" w:themeColor="text1"/>
        </w:rPr>
        <w:footnoteReference w:id="66"/>
      </w:r>
      <w:r w:rsidRPr="00CA1BB8">
        <w:rPr>
          <w:rFonts w:ascii="Arial" w:hAnsi="Arial" w:cs="Arial"/>
          <w:color w:val="000000" w:themeColor="text1"/>
        </w:rPr>
        <w:t xml:space="preserve">. </w:t>
      </w:r>
    </w:p>
    <w:p w14:paraId="49E5DACB" w14:textId="77777777" w:rsidR="00CE6011" w:rsidRPr="00CA1BB8" w:rsidRDefault="00CE6011" w:rsidP="00CE6011">
      <w:pPr>
        <w:spacing w:after="0" w:line="360" w:lineRule="auto"/>
        <w:jc w:val="both"/>
        <w:rPr>
          <w:rFonts w:ascii="Arial" w:hAnsi="Arial" w:cs="Arial"/>
          <w:color w:val="000000" w:themeColor="text1"/>
        </w:rPr>
      </w:pPr>
      <w:r w:rsidRPr="00CA1BB8">
        <w:rPr>
          <w:rFonts w:ascii="Arial" w:hAnsi="Arial" w:cs="Arial"/>
          <w:color w:val="000000" w:themeColor="text1"/>
        </w:rPr>
        <w:t xml:space="preserve">VI. Los particulares podrán impartir </w:t>
      </w:r>
      <w:r>
        <w:rPr>
          <w:rFonts w:ascii="Arial" w:hAnsi="Arial" w:cs="Arial"/>
          <w:color w:val="000000" w:themeColor="text1"/>
        </w:rPr>
        <w:t>e</w:t>
      </w:r>
      <w:r w:rsidRPr="00CA1BB8">
        <w:rPr>
          <w:rFonts w:ascii="Arial" w:hAnsi="Arial" w:cs="Arial"/>
          <w:color w:val="000000" w:themeColor="text1"/>
        </w:rPr>
        <w:t>ducación en todos sus tipos y modalidades</w:t>
      </w:r>
      <w:r>
        <w:rPr>
          <w:rFonts w:ascii="Arial" w:hAnsi="Arial" w:cs="Arial"/>
          <w:color w:val="000000" w:themeColor="text1"/>
        </w:rPr>
        <w:t>. En</w:t>
      </w:r>
      <w:r w:rsidRPr="00CA1BB8">
        <w:rPr>
          <w:rFonts w:ascii="Arial" w:hAnsi="Arial" w:cs="Arial"/>
          <w:color w:val="000000" w:themeColor="text1"/>
        </w:rPr>
        <w:t xml:space="preserve"> los términos que establezca la ley, el </w:t>
      </w:r>
      <w:r>
        <w:rPr>
          <w:rFonts w:ascii="Arial" w:hAnsi="Arial" w:cs="Arial"/>
          <w:color w:val="000000" w:themeColor="text1"/>
        </w:rPr>
        <w:t>E</w:t>
      </w:r>
      <w:r w:rsidRPr="00CA1BB8">
        <w:rPr>
          <w:rFonts w:ascii="Arial" w:hAnsi="Arial" w:cs="Arial"/>
          <w:color w:val="000000" w:themeColor="text1"/>
        </w:rPr>
        <w:t>stado otorgará y reiterará el reconocimiento de validez oficial a los estudios que se realicen en planteles particulares</w:t>
      </w:r>
      <w:r>
        <w:rPr>
          <w:rFonts w:ascii="Arial" w:hAnsi="Arial" w:cs="Arial"/>
          <w:color w:val="000000" w:themeColor="text1"/>
        </w:rPr>
        <w:t>. E</w:t>
      </w:r>
      <w:r w:rsidRPr="00CA1BB8">
        <w:rPr>
          <w:rFonts w:ascii="Arial" w:hAnsi="Arial" w:cs="Arial"/>
          <w:color w:val="000000" w:themeColor="text1"/>
        </w:rPr>
        <w:t xml:space="preserve">n el caso de la </w:t>
      </w:r>
      <w:r>
        <w:rPr>
          <w:rFonts w:ascii="Arial" w:hAnsi="Arial" w:cs="Arial"/>
          <w:color w:val="000000" w:themeColor="text1"/>
        </w:rPr>
        <w:t>e</w:t>
      </w:r>
      <w:r w:rsidRPr="00CA1BB8">
        <w:rPr>
          <w:rFonts w:ascii="Arial" w:hAnsi="Arial" w:cs="Arial"/>
          <w:color w:val="000000" w:themeColor="text1"/>
        </w:rPr>
        <w:t>ducación preescolar, primaria, secundaria y normal, los particulares deberán</w:t>
      </w:r>
      <w:r>
        <w:rPr>
          <w:rFonts w:ascii="Arial" w:hAnsi="Arial" w:cs="Arial"/>
          <w:color w:val="000000" w:themeColor="text1"/>
        </w:rPr>
        <w:t>:</w:t>
      </w:r>
    </w:p>
    <w:p w14:paraId="12078CDE" w14:textId="77777777" w:rsidR="00CE6011" w:rsidRPr="00DB4EE3" w:rsidRDefault="00CE6011" w:rsidP="00CE6011">
      <w:pPr>
        <w:spacing w:after="0" w:line="360" w:lineRule="auto"/>
        <w:jc w:val="both"/>
        <w:rPr>
          <w:rFonts w:ascii="Arial" w:hAnsi="Arial" w:cs="Arial"/>
          <w:lang w:val="es-ES"/>
        </w:rPr>
      </w:pPr>
      <w:r w:rsidRPr="00DB4EE3">
        <w:rPr>
          <w:rFonts w:ascii="Arial" w:hAnsi="Arial" w:cs="Arial"/>
          <w:lang w:val="es-ES"/>
        </w:rPr>
        <w:t xml:space="preserve">a) Impartir la educación con apego a los mismos fines y criterios que establecen el segundo párrafo y la fracción II, así como cumplir los planes y programas a que se refiere la fracción III, y </w:t>
      </w:r>
    </w:p>
    <w:p w14:paraId="46B3E26F" w14:textId="77777777" w:rsidR="00CE6011" w:rsidRPr="00DB4EE3" w:rsidRDefault="00CE6011" w:rsidP="00CE6011">
      <w:pPr>
        <w:spacing w:after="0" w:line="360" w:lineRule="auto"/>
        <w:jc w:val="both"/>
        <w:rPr>
          <w:rFonts w:ascii="Arial" w:hAnsi="Arial" w:cs="Arial"/>
          <w:lang w:eastAsia="es-MX"/>
        </w:rPr>
      </w:pPr>
      <w:r w:rsidRPr="00DB4EE3">
        <w:rPr>
          <w:rFonts w:ascii="Arial" w:hAnsi="Arial" w:cs="Arial"/>
          <w:lang w:val="es-ES"/>
        </w:rPr>
        <w:t>b) Obtener previamente, en cada caso, la autorización expresa del poder público, en los términos que establezca la ley</w:t>
      </w:r>
      <w:r w:rsidRPr="00DB4EE3">
        <w:rPr>
          <w:rFonts w:ascii="Arial" w:hAnsi="Arial" w:cs="Arial"/>
        </w:rPr>
        <w:t xml:space="preserve"> </w:t>
      </w:r>
    </w:p>
    <w:p w14:paraId="7E02A898" w14:textId="77777777" w:rsidR="00CE6011" w:rsidRDefault="00CE6011" w:rsidP="00CE6011">
      <w:pPr>
        <w:spacing w:after="0" w:line="360" w:lineRule="auto"/>
        <w:jc w:val="both"/>
        <w:rPr>
          <w:rFonts w:ascii="Arial" w:hAnsi="Arial" w:cs="Arial"/>
          <w:color w:val="000000" w:themeColor="text1"/>
        </w:rPr>
      </w:pPr>
      <w:r w:rsidRPr="00CA1BB8">
        <w:rPr>
          <w:rFonts w:ascii="Arial" w:hAnsi="Arial" w:cs="Arial"/>
          <w:color w:val="000000" w:themeColor="text1"/>
        </w:rPr>
        <w:t xml:space="preserve">VII. Las </w:t>
      </w:r>
      <w:r>
        <w:rPr>
          <w:rFonts w:ascii="Arial" w:hAnsi="Arial" w:cs="Arial"/>
          <w:color w:val="000000" w:themeColor="text1"/>
        </w:rPr>
        <w:t>u</w:t>
      </w:r>
      <w:r w:rsidRPr="00CA1BB8">
        <w:rPr>
          <w:rFonts w:ascii="Arial" w:hAnsi="Arial" w:cs="Arial"/>
          <w:color w:val="000000" w:themeColor="text1"/>
        </w:rPr>
        <w:t xml:space="preserve">niversidades y las demás </w:t>
      </w:r>
      <w:r>
        <w:rPr>
          <w:rFonts w:ascii="Arial" w:hAnsi="Arial" w:cs="Arial"/>
          <w:color w:val="000000" w:themeColor="text1"/>
        </w:rPr>
        <w:t>i</w:t>
      </w:r>
      <w:r w:rsidRPr="00CA1BB8">
        <w:rPr>
          <w:rFonts w:ascii="Arial" w:hAnsi="Arial" w:cs="Arial"/>
          <w:color w:val="000000" w:themeColor="text1"/>
        </w:rPr>
        <w:t xml:space="preserve">nstituciones de </w:t>
      </w:r>
      <w:r>
        <w:rPr>
          <w:rFonts w:ascii="Arial" w:hAnsi="Arial" w:cs="Arial"/>
          <w:color w:val="000000" w:themeColor="text1"/>
        </w:rPr>
        <w:t>e</w:t>
      </w:r>
      <w:r w:rsidRPr="00CA1BB8">
        <w:rPr>
          <w:rFonts w:ascii="Arial" w:hAnsi="Arial" w:cs="Arial"/>
          <w:color w:val="000000" w:themeColor="text1"/>
        </w:rPr>
        <w:t xml:space="preserve">ducación </w:t>
      </w:r>
      <w:r>
        <w:rPr>
          <w:rFonts w:ascii="Arial" w:hAnsi="Arial" w:cs="Arial"/>
          <w:color w:val="000000" w:themeColor="text1"/>
        </w:rPr>
        <w:t>s</w:t>
      </w:r>
      <w:r w:rsidRPr="00CA1BB8">
        <w:rPr>
          <w:rFonts w:ascii="Arial" w:hAnsi="Arial" w:cs="Arial"/>
          <w:color w:val="000000" w:themeColor="text1"/>
        </w:rPr>
        <w:t>uperior a las que la ley otorgue autonomía, tendrán la facultad y la responsabilidad de gobernarse a sí mismas; realizarán sus fines de educar, investigar y difundir la cultura de acuerdo con los principios de éste artículo, respetando la libertad de cátedra e investigación y de libre examen y dis</w:t>
      </w:r>
      <w:r>
        <w:rPr>
          <w:rFonts w:ascii="Arial" w:hAnsi="Arial" w:cs="Arial"/>
          <w:color w:val="000000" w:themeColor="text1"/>
        </w:rPr>
        <w:t>cusión de las ideas; determinará</w:t>
      </w:r>
      <w:r w:rsidRPr="00CA1BB8">
        <w:rPr>
          <w:rFonts w:ascii="Arial" w:hAnsi="Arial" w:cs="Arial"/>
          <w:color w:val="000000" w:themeColor="text1"/>
        </w:rPr>
        <w:t>n sus planes y programas; fijaran los términos de ingreso, promoción y permanencia de su personal académ</w:t>
      </w:r>
      <w:r>
        <w:rPr>
          <w:rFonts w:ascii="Arial" w:hAnsi="Arial" w:cs="Arial"/>
          <w:color w:val="000000" w:themeColor="text1"/>
        </w:rPr>
        <w:t>ico; y administrará</w:t>
      </w:r>
      <w:r w:rsidRPr="00CA1BB8">
        <w:rPr>
          <w:rFonts w:ascii="Arial" w:hAnsi="Arial" w:cs="Arial"/>
          <w:color w:val="000000" w:themeColor="text1"/>
        </w:rPr>
        <w:t>n su patrimonio. Las relaciones laborales, tanto del personal académico como del administrativo, se normarán por el Apartado A del Artículo 123 de esta Constitución, en los términos y con las modalidades que establezca la Ley Federal del Trabajo conforme a las características propias de un trabajo especial, de manera que concuerden con la autonomía, la libertad de cátedra e investigación y los fines de las Instituciones a que esta fracción se refiere, y</w:t>
      </w:r>
      <w:r w:rsidRPr="00CA1BB8">
        <w:rPr>
          <w:rStyle w:val="Refdenotaalpie"/>
          <w:rFonts w:ascii="Arial" w:hAnsi="Arial" w:cs="Arial"/>
          <w:color w:val="000000" w:themeColor="text1"/>
        </w:rPr>
        <w:footnoteReference w:id="67"/>
      </w:r>
      <w:r w:rsidRPr="00CA1BB8">
        <w:rPr>
          <w:rFonts w:ascii="Arial" w:hAnsi="Arial" w:cs="Arial"/>
          <w:color w:val="000000" w:themeColor="text1"/>
        </w:rPr>
        <w:t xml:space="preserve"> </w:t>
      </w:r>
    </w:p>
    <w:p w14:paraId="470ABB1E" w14:textId="77777777" w:rsidR="00CE6011" w:rsidRPr="00CA1BB8" w:rsidRDefault="00CE6011" w:rsidP="00CE6011">
      <w:pPr>
        <w:spacing w:after="0" w:line="360" w:lineRule="auto"/>
        <w:jc w:val="both"/>
        <w:rPr>
          <w:rFonts w:ascii="Arial" w:hAnsi="Arial" w:cs="Arial"/>
          <w:color w:val="000000" w:themeColor="text1"/>
          <w:lang w:eastAsia="es-MX"/>
        </w:rPr>
      </w:pPr>
      <w:r w:rsidRPr="00CA1BB8">
        <w:rPr>
          <w:rFonts w:ascii="Arial" w:hAnsi="Arial" w:cs="Arial"/>
          <w:color w:val="000000" w:themeColor="text1"/>
        </w:rPr>
        <w:t xml:space="preserve">VIII. El Congreso de la Unión, con el fin de unificar y coordinar la </w:t>
      </w:r>
      <w:r>
        <w:rPr>
          <w:rFonts w:ascii="Arial" w:hAnsi="Arial" w:cs="Arial"/>
          <w:color w:val="000000" w:themeColor="text1"/>
        </w:rPr>
        <w:t>e</w:t>
      </w:r>
      <w:r w:rsidRPr="00CA1BB8">
        <w:rPr>
          <w:rFonts w:ascii="Arial" w:hAnsi="Arial" w:cs="Arial"/>
          <w:color w:val="000000" w:themeColor="text1"/>
        </w:rPr>
        <w:t xml:space="preserve">ducación en toda la República, expedirá las leyes necesarias destinadas a distribuir la función social educativa entre la Federación, los estados y los </w:t>
      </w:r>
      <w:r>
        <w:rPr>
          <w:rFonts w:ascii="Arial" w:hAnsi="Arial" w:cs="Arial"/>
          <w:color w:val="000000" w:themeColor="text1"/>
        </w:rPr>
        <w:t>M</w:t>
      </w:r>
      <w:r w:rsidRPr="00CA1BB8">
        <w:rPr>
          <w:rFonts w:ascii="Arial" w:hAnsi="Arial" w:cs="Arial"/>
          <w:color w:val="000000" w:themeColor="text1"/>
        </w:rPr>
        <w:t xml:space="preserve">unicipios, a fijar las aportaciones económicas correspondientes a ese servicio público y a señalar las sanciones aplicables a los </w:t>
      </w:r>
      <w:r w:rsidRPr="00CA1BB8">
        <w:rPr>
          <w:rFonts w:ascii="Arial" w:hAnsi="Arial" w:cs="Arial"/>
          <w:color w:val="000000" w:themeColor="text1"/>
        </w:rPr>
        <w:lastRenderedPageBreak/>
        <w:t>funcionarios que no cumplan o no hagan cumplir las disposiciones relativas, lo mismo que a todos aquellos que las infrinjan</w:t>
      </w:r>
      <w:r w:rsidRPr="00CA1BB8">
        <w:rPr>
          <w:rStyle w:val="Refdenotaalpie"/>
          <w:rFonts w:ascii="Arial" w:hAnsi="Arial" w:cs="Arial"/>
          <w:color w:val="000000" w:themeColor="text1"/>
        </w:rPr>
        <w:footnoteReference w:id="68"/>
      </w:r>
      <w:r w:rsidRPr="00CA1BB8">
        <w:rPr>
          <w:rFonts w:ascii="Arial" w:hAnsi="Arial" w:cs="Arial"/>
          <w:color w:val="000000" w:themeColor="text1"/>
        </w:rPr>
        <w:t>.</w:t>
      </w:r>
    </w:p>
    <w:p w14:paraId="01B936F5" w14:textId="77777777" w:rsidR="00CE6011" w:rsidRPr="00CA1BB8" w:rsidRDefault="00CE6011" w:rsidP="00CE6011">
      <w:pPr>
        <w:spacing w:after="0" w:line="360" w:lineRule="auto"/>
        <w:jc w:val="both"/>
        <w:rPr>
          <w:rFonts w:ascii="Arial" w:hAnsi="Arial" w:cs="Arial"/>
          <w:color w:val="000000" w:themeColor="text1"/>
        </w:rPr>
      </w:pPr>
      <w:r w:rsidRPr="00CA1BB8">
        <w:rPr>
          <w:rFonts w:ascii="Arial" w:hAnsi="Arial" w:cs="Arial"/>
          <w:b/>
          <w:smallCaps/>
          <w:color w:val="000000" w:themeColor="text1"/>
          <w:shd w:val="clear" w:color="auto" w:fill="FFFFFF" w:themeFill="background1"/>
        </w:rPr>
        <w:t>Artículo 4°.</w:t>
      </w:r>
      <w:r w:rsidRPr="00CA1BB8">
        <w:rPr>
          <w:rFonts w:ascii="Arial" w:hAnsi="Arial" w:cs="Arial"/>
          <w:color w:val="000000" w:themeColor="text1"/>
        </w:rPr>
        <w:t xml:space="preserve"> …Toda persona tiene derecho a decidir de manera libre, responsable e informada sobre el número y el espaciamiento de sus hijos</w:t>
      </w:r>
      <w:r w:rsidRPr="00CA1BB8">
        <w:rPr>
          <w:rStyle w:val="Refdenotaalpie"/>
          <w:rFonts w:ascii="Arial" w:hAnsi="Arial" w:cs="Arial"/>
          <w:color w:val="000000" w:themeColor="text1"/>
        </w:rPr>
        <w:footnoteReference w:id="69"/>
      </w:r>
      <w:r w:rsidRPr="00CA1BB8">
        <w:rPr>
          <w:rFonts w:ascii="Arial" w:hAnsi="Arial" w:cs="Arial"/>
          <w:color w:val="000000" w:themeColor="text1"/>
        </w:rPr>
        <w:t>. Toda persona tiene derecho a la protección de la salud. La ley definirá las bases y modalidades para el acceso a los servicios de salud y establecerá la concurrencia de la federación y las entidades federativas en materia de salubridad general, conforme a lo que dispone la fracción XVI del artículo 73 de esta Constitución</w:t>
      </w:r>
      <w:r w:rsidRPr="00CA1BB8">
        <w:rPr>
          <w:rStyle w:val="Refdenotaalpie"/>
          <w:rFonts w:ascii="Arial" w:hAnsi="Arial" w:cs="Arial"/>
          <w:color w:val="000000" w:themeColor="text1"/>
        </w:rPr>
        <w:footnoteReference w:id="70"/>
      </w:r>
      <w:r w:rsidRPr="00CA1BB8">
        <w:rPr>
          <w:rFonts w:ascii="Arial" w:hAnsi="Arial" w:cs="Arial"/>
          <w:color w:val="000000" w:themeColor="text1"/>
        </w:rPr>
        <w:t>.</w:t>
      </w:r>
    </w:p>
    <w:p w14:paraId="397E0C4D" w14:textId="77777777" w:rsidR="00CE6011" w:rsidRPr="00CA1BB8" w:rsidRDefault="00CE6011" w:rsidP="00CE6011">
      <w:pPr>
        <w:spacing w:after="0" w:line="360" w:lineRule="auto"/>
        <w:jc w:val="both"/>
        <w:rPr>
          <w:rFonts w:ascii="Arial" w:hAnsi="Arial" w:cs="Arial"/>
          <w:color w:val="000000" w:themeColor="text1"/>
        </w:rPr>
      </w:pPr>
      <w:r w:rsidRPr="00CA1BB8">
        <w:rPr>
          <w:rFonts w:ascii="Arial" w:hAnsi="Arial" w:cs="Arial"/>
          <w:color w:val="000000" w:themeColor="text1"/>
        </w:rPr>
        <w:t>En los artículos anteriores se manifiesta el alineamiento a la normatividad planteada por la Constitución de nuestro país.</w:t>
      </w:r>
    </w:p>
    <w:p w14:paraId="2D77D134" w14:textId="77777777" w:rsidR="009025AA" w:rsidRDefault="009025AA" w:rsidP="00CE6011">
      <w:pPr>
        <w:spacing w:after="0" w:line="360" w:lineRule="auto"/>
        <w:jc w:val="both"/>
        <w:rPr>
          <w:rFonts w:ascii="Arial" w:hAnsi="Arial" w:cs="Arial"/>
          <w:color w:val="000000" w:themeColor="text1"/>
        </w:rPr>
      </w:pPr>
    </w:p>
    <w:p w14:paraId="01CF4EBE" w14:textId="77777777" w:rsidR="009025AA" w:rsidRDefault="009025AA" w:rsidP="00CE6011">
      <w:pPr>
        <w:spacing w:after="0" w:line="360" w:lineRule="auto"/>
        <w:jc w:val="both"/>
        <w:rPr>
          <w:rFonts w:ascii="Arial" w:hAnsi="Arial" w:cs="Arial"/>
          <w:b/>
          <w:smallCaps/>
          <w:color w:val="000000" w:themeColor="text1"/>
        </w:rPr>
      </w:pPr>
      <w:r w:rsidRPr="009025AA">
        <w:rPr>
          <w:rFonts w:ascii="Arial" w:hAnsi="Arial" w:cs="Arial"/>
          <w:b/>
          <w:color w:val="000000" w:themeColor="text1"/>
        </w:rPr>
        <w:t xml:space="preserve">3.2. </w:t>
      </w:r>
      <w:r w:rsidR="00CE6011" w:rsidRPr="00CA1BB8">
        <w:rPr>
          <w:rFonts w:ascii="Arial" w:hAnsi="Arial" w:cs="Arial"/>
          <w:b/>
          <w:smallCaps/>
          <w:color w:val="000000" w:themeColor="text1"/>
        </w:rPr>
        <w:t>Ley General de Educación</w:t>
      </w:r>
    </w:p>
    <w:p w14:paraId="33AAC1C3" w14:textId="090C6DD3" w:rsidR="00CE6011" w:rsidRPr="00CA1BB8" w:rsidRDefault="00CE6011" w:rsidP="00CE6011">
      <w:pPr>
        <w:spacing w:after="0" w:line="360" w:lineRule="auto"/>
        <w:jc w:val="both"/>
        <w:rPr>
          <w:rFonts w:ascii="Arial" w:hAnsi="Arial" w:cs="Arial"/>
          <w:color w:val="000000" w:themeColor="text1"/>
        </w:rPr>
      </w:pPr>
      <w:r w:rsidRPr="00CA1BB8">
        <w:rPr>
          <w:rFonts w:ascii="Arial" w:hAnsi="Arial" w:cs="Arial"/>
          <w:color w:val="000000" w:themeColor="text1"/>
        </w:rPr>
        <w:t xml:space="preserve">Capítulo I, Artículo 7, fracción X donde se expresa: desarrollar actitudes solidarias en los individuos y crear conciencia sobre la preservación de la salud, el ejercicio responsable de la sexualidad, la planeación familiar y la paternidad responsable, sin menoscabo de la libertad y del respeto absoluto a la dignidad humana, así como propiciar el rechazo a los vicios y adicciones, fomentando el conocimiento de sus causas, riesgos y sus consecuencias </w:t>
      </w:r>
      <w:r w:rsidRPr="00CA1BB8">
        <w:rPr>
          <w:rStyle w:val="Refdenotaalpie"/>
          <w:rFonts w:ascii="Arial" w:hAnsi="Arial" w:cs="Arial"/>
          <w:color w:val="000000" w:themeColor="text1"/>
        </w:rPr>
        <w:footnoteReference w:id="71"/>
      </w:r>
      <w:r w:rsidRPr="00CA1BB8">
        <w:rPr>
          <w:rFonts w:ascii="Arial" w:hAnsi="Arial" w:cs="Arial"/>
          <w:color w:val="000000" w:themeColor="text1"/>
        </w:rPr>
        <w:t>.</w:t>
      </w:r>
    </w:p>
    <w:p w14:paraId="38D833E0" w14:textId="77777777" w:rsidR="00CE6011" w:rsidRPr="00CA1BB8" w:rsidRDefault="00CE6011" w:rsidP="00CE6011">
      <w:pPr>
        <w:spacing w:after="0" w:line="360" w:lineRule="auto"/>
        <w:jc w:val="both"/>
        <w:rPr>
          <w:rFonts w:ascii="Arial" w:hAnsi="Arial" w:cs="Arial"/>
          <w:color w:val="000000" w:themeColor="text1"/>
        </w:rPr>
      </w:pPr>
      <w:r w:rsidRPr="00CA1BB8">
        <w:rPr>
          <w:rFonts w:ascii="Arial" w:hAnsi="Arial" w:cs="Arial"/>
          <w:color w:val="000000" w:themeColor="text1"/>
        </w:rPr>
        <w:t xml:space="preserve">De igual manera se atiende esta </w:t>
      </w:r>
      <w:r>
        <w:rPr>
          <w:rFonts w:ascii="Arial" w:hAnsi="Arial" w:cs="Arial"/>
          <w:color w:val="000000" w:themeColor="text1"/>
        </w:rPr>
        <w:t>L</w:t>
      </w:r>
      <w:r w:rsidRPr="00CA1BB8">
        <w:rPr>
          <w:rFonts w:ascii="Arial" w:hAnsi="Arial" w:cs="Arial"/>
          <w:color w:val="000000" w:themeColor="text1"/>
        </w:rPr>
        <w:t>ey en lo referente a los Capítulos II, III y VI, en sus diferentes articulados donde se especifica lo siguiente:</w:t>
      </w:r>
    </w:p>
    <w:p w14:paraId="2AFE9C5F" w14:textId="77777777" w:rsidR="00CE6011" w:rsidRPr="00CA1BB8" w:rsidRDefault="00CE6011" w:rsidP="00CE6011">
      <w:pPr>
        <w:spacing w:after="0" w:line="360" w:lineRule="auto"/>
        <w:jc w:val="both"/>
        <w:rPr>
          <w:rFonts w:ascii="Arial" w:hAnsi="Arial" w:cs="Arial"/>
          <w:color w:val="000000" w:themeColor="text1"/>
        </w:rPr>
      </w:pPr>
      <w:r w:rsidRPr="00CA1BB8">
        <w:rPr>
          <w:rFonts w:ascii="Arial" w:hAnsi="Arial" w:cs="Arial"/>
          <w:b/>
          <w:smallCaps/>
          <w:color w:val="000000" w:themeColor="text1"/>
        </w:rPr>
        <w:t>Capítulo ii. del federalismo educativo.</w:t>
      </w:r>
      <w:r w:rsidRPr="00CA1BB8">
        <w:rPr>
          <w:rFonts w:ascii="Arial" w:hAnsi="Arial" w:cs="Arial"/>
          <w:smallCaps/>
          <w:color w:val="000000" w:themeColor="text1"/>
        </w:rPr>
        <w:t xml:space="preserve"> </w:t>
      </w:r>
      <w:r w:rsidRPr="00CA1BB8">
        <w:rPr>
          <w:rFonts w:ascii="Arial" w:hAnsi="Arial" w:cs="Arial"/>
          <w:b/>
          <w:smallCaps/>
          <w:color w:val="000000" w:themeColor="text1"/>
        </w:rPr>
        <w:t>Artículo 24.-</w:t>
      </w:r>
      <w:r w:rsidRPr="00CA1BB8">
        <w:rPr>
          <w:rFonts w:ascii="Arial" w:hAnsi="Arial" w:cs="Arial"/>
          <w:smallCaps/>
          <w:color w:val="000000" w:themeColor="text1"/>
        </w:rPr>
        <w:t xml:space="preserve"> </w:t>
      </w:r>
      <w:r w:rsidRPr="00CA1BB8">
        <w:rPr>
          <w:rFonts w:ascii="Arial" w:hAnsi="Arial" w:cs="Arial"/>
          <w:color w:val="000000" w:themeColor="text1"/>
        </w:rPr>
        <w:t>Los beneficios directamente por los servicios educativos deberán prestar servicio social, en los casos y términos que señalen las disposiciones reglamentarias correspondientes. En éstas se preverá la presentación del servicio social como requisito previo para obtener título o grado académico.</w:t>
      </w:r>
    </w:p>
    <w:p w14:paraId="04C1A55C" w14:textId="77777777" w:rsidR="00CE6011" w:rsidRDefault="00CE6011" w:rsidP="00CE6011">
      <w:pPr>
        <w:spacing w:after="0" w:line="360" w:lineRule="auto"/>
        <w:jc w:val="both"/>
        <w:rPr>
          <w:rFonts w:ascii="Arial" w:hAnsi="Arial" w:cs="Arial"/>
          <w:b/>
          <w:smallCaps/>
          <w:color w:val="000000" w:themeColor="text1"/>
        </w:rPr>
      </w:pPr>
    </w:p>
    <w:p w14:paraId="13F15A6B" w14:textId="15B6ED75" w:rsidR="00CE6011" w:rsidRPr="00CA1BB8" w:rsidRDefault="00CE6011" w:rsidP="00CE6011">
      <w:pPr>
        <w:spacing w:after="0" w:line="360" w:lineRule="auto"/>
        <w:jc w:val="both"/>
        <w:rPr>
          <w:rFonts w:ascii="Arial" w:hAnsi="Arial" w:cs="Arial"/>
          <w:b/>
          <w:smallCaps/>
          <w:color w:val="000000" w:themeColor="text1"/>
        </w:rPr>
      </w:pPr>
      <w:r w:rsidRPr="00CA1BB8">
        <w:rPr>
          <w:rFonts w:ascii="Arial" w:hAnsi="Arial" w:cs="Arial"/>
          <w:b/>
          <w:smallCaps/>
          <w:color w:val="000000" w:themeColor="text1"/>
        </w:rPr>
        <w:t>sección cuarta- de la evaluación del sistema educativo nacional</w:t>
      </w:r>
    </w:p>
    <w:p w14:paraId="2D2683DA" w14:textId="77777777" w:rsidR="00CE6011" w:rsidRDefault="00CE6011" w:rsidP="00CE6011">
      <w:pPr>
        <w:spacing w:after="0" w:line="360" w:lineRule="auto"/>
        <w:jc w:val="both"/>
        <w:rPr>
          <w:rFonts w:ascii="Arial" w:hAnsi="Arial" w:cs="Arial"/>
          <w:color w:val="000000" w:themeColor="text1"/>
        </w:rPr>
      </w:pPr>
      <w:r w:rsidRPr="00CA1BB8">
        <w:rPr>
          <w:rFonts w:ascii="Arial" w:hAnsi="Arial" w:cs="Arial"/>
          <w:b/>
          <w:smallCaps/>
          <w:color w:val="000000" w:themeColor="text1"/>
        </w:rPr>
        <w:t>Artículo 29.</w:t>
      </w:r>
      <w:r w:rsidRPr="00CA1BB8">
        <w:rPr>
          <w:rFonts w:ascii="Arial" w:hAnsi="Arial" w:cs="Arial"/>
          <w:b/>
          <w:color w:val="000000" w:themeColor="text1"/>
        </w:rPr>
        <w:t>-</w:t>
      </w:r>
      <w:r>
        <w:rPr>
          <w:rFonts w:ascii="Arial" w:hAnsi="Arial" w:cs="Arial"/>
          <w:color w:val="000000" w:themeColor="text1"/>
        </w:rPr>
        <w:t xml:space="preserve"> Corresponde a Instituto Nacional para la Evaluación de la Educación (…) </w:t>
      </w:r>
    </w:p>
    <w:p w14:paraId="399D18E3" w14:textId="77777777" w:rsidR="00CE6011" w:rsidRPr="006E17BC" w:rsidRDefault="00CE6011" w:rsidP="00CE6011">
      <w:pPr>
        <w:pStyle w:val="Texto"/>
        <w:spacing w:after="0" w:line="360" w:lineRule="auto"/>
        <w:ind w:firstLine="0"/>
        <w:rPr>
          <w:rFonts w:eastAsiaTheme="majorEastAsia"/>
          <w:color w:val="000000" w:themeColor="text1"/>
          <w:sz w:val="22"/>
          <w:szCs w:val="22"/>
          <w:lang w:val="es-MX" w:eastAsia="en-US" w:bidi="en-US"/>
        </w:rPr>
      </w:pPr>
      <w:r w:rsidRPr="006E17BC">
        <w:rPr>
          <w:rFonts w:eastAsiaTheme="majorEastAsia"/>
          <w:color w:val="000000" w:themeColor="text1"/>
          <w:sz w:val="22"/>
          <w:szCs w:val="22"/>
          <w:lang w:val="es-MX" w:eastAsia="en-US" w:bidi="en-US"/>
        </w:rPr>
        <w:t>III.- …</w:t>
      </w:r>
      <w:r w:rsidRPr="006E17BC">
        <w:rPr>
          <w:sz w:val="20"/>
          <w:szCs w:val="20"/>
        </w:rPr>
        <w:t xml:space="preserve"> </w:t>
      </w:r>
      <w:r w:rsidRPr="006E17BC">
        <w:rPr>
          <w:rFonts w:eastAsiaTheme="majorEastAsia"/>
          <w:color w:val="000000" w:themeColor="text1"/>
          <w:sz w:val="22"/>
          <w:szCs w:val="22"/>
          <w:lang w:val="es-MX" w:eastAsia="en-US" w:bidi="en-US"/>
        </w:rPr>
        <w:t>Respecto de los servicios educativos diferentes a los mencionados en la fracción I de este artículo, la Secretaría y demás autoridades competentes, realizarán la evaluación correspondiente, de conformidad con las atribuciones establecidas por esta Ley.</w:t>
      </w:r>
    </w:p>
    <w:p w14:paraId="5AD09C5F" w14:textId="77777777" w:rsidR="00CE6011" w:rsidRPr="006E17BC" w:rsidRDefault="00CE6011" w:rsidP="00CE6011">
      <w:pPr>
        <w:pStyle w:val="Texto"/>
        <w:spacing w:after="0" w:line="360" w:lineRule="auto"/>
        <w:ind w:firstLine="0"/>
        <w:rPr>
          <w:rFonts w:eastAsiaTheme="majorEastAsia"/>
          <w:color w:val="000000" w:themeColor="text1"/>
          <w:sz w:val="22"/>
          <w:szCs w:val="22"/>
          <w:lang w:val="es-MX" w:eastAsia="en-US" w:bidi="en-US"/>
        </w:rPr>
      </w:pPr>
      <w:r w:rsidRPr="006E17BC">
        <w:rPr>
          <w:rFonts w:eastAsiaTheme="majorEastAsia"/>
          <w:color w:val="000000" w:themeColor="text1"/>
          <w:sz w:val="22"/>
          <w:szCs w:val="22"/>
          <w:lang w:val="es-MX" w:eastAsia="en-US" w:bidi="en-US"/>
        </w:rPr>
        <w:lastRenderedPageBreak/>
        <w:t>Tanto la evaluación que corresponde realizar al Instituto Nacional para la Evaluación de la Educación, como las evaluaciones que, en el ámbito de sus atribuciones y en el marco del Sistema Nacional de Evaluación Educativa, son responsabilidad de las autoridades educativas, serán sistemáticas y permanentes. Sus resultados serán tomados como base para que las autoridades educativas, en el ámbito de su competencia, adopten las medidas procedentes.</w:t>
      </w:r>
    </w:p>
    <w:p w14:paraId="100BD589" w14:textId="77777777" w:rsidR="00CE6011" w:rsidRPr="00CA1BB8" w:rsidRDefault="00CE6011" w:rsidP="00CE6011">
      <w:pPr>
        <w:spacing w:after="0" w:line="360" w:lineRule="auto"/>
        <w:jc w:val="both"/>
        <w:rPr>
          <w:rFonts w:ascii="Arial" w:hAnsi="Arial" w:cs="Arial"/>
          <w:color w:val="000000" w:themeColor="text1"/>
        </w:rPr>
      </w:pPr>
      <w:r w:rsidRPr="00CA1BB8">
        <w:rPr>
          <w:rFonts w:ascii="Arial" w:hAnsi="Arial" w:cs="Arial"/>
          <w:b/>
          <w:smallCaps/>
          <w:color w:val="000000" w:themeColor="text1"/>
        </w:rPr>
        <w:t>Artículo 30.-</w:t>
      </w:r>
      <w:r w:rsidRPr="00CA1BB8">
        <w:rPr>
          <w:rFonts w:ascii="Arial" w:hAnsi="Arial" w:cs="Arial"/>
          <w:color w:val="000000" w:themeColor="text1"/>
        </w:rPr>
        <w:t xml:space="preserve"> Las instituciones educativas establecidas por el Estado, por sus organismos descentralizados y por lo particulares con autorización o con reconocimiento de validez oficial de estudios, otorgarán a las autoridades educativas todas las facilidades y colaboración para la evaluación a que esta sección se refiere.</w:t>
      </w:r>
    </w:p>
    <w:p w14:paraId="310BA743" w14:textId="77777777" w:rsidR="00CE6011" w:rsidRPr="00CA1BB8" w:rsidRDefault="00CE6011" w:rsidP="00CE6011">
      <w:pPr>
        <w:spacing w:after="0" w:line="360" w:lineRule="auto"/>
        <w:jc w:val="both"/>
        <w:rPr>
          <w:rFonts w:ascii="Arial" w:hAnsi="Arial" w:cs="Arial"/>
          <w:color w:val="000000" w:themeColor="text1"/>
        </w:rPr>
      </w:pPr>
      <w:r w:rsidRPr="00CA1BB8">
        <w:rPr>
          <w:rFonts w:ascii="Arial" w:hAnsi="Arial" w:cs="Arial"/>
          <w:b/>
          <w:smallCaps/>
          <w:color w:val="000000" w:themeColor="text1"/>
        </w:rPr>
        <w:t>Artículo 31.-</w:t>
      </w:r>
      <w:r w:rsidRPr="00CA1BB8">
        <w:rPr>
          <w:rFonts w:ascii="Arial" w:hAnsi="Arial" w:cs="Arial"/>
          <w:color w:val="000000" w:themeColor="text1"/>
        </w:rPr>
        <w:t xml:space="preserve"> Las autoridades educativas darán a conocer a los maestros, alumnos, padres de familia y a la sociedad en general, los resultados de las evaluaciones que realicen, así como la demás información global que permita medir el desarrollo y avances en cada entidad federativa.</w:t>
      </w:r>
    </w:p>
    <w:p w14:paraId="271C7B8D" w14:textId="77777777" w:rsidR="00CE6011" w:rsidRDefault="00CE6011" w:rsidP="00CE6011">
      <w:pPr>
        <w:spacing w:after="0" w:line="360" w:lineRule="auto"/>
        <w:jc w:val="both"/>
        <w:rPr>
          <w:rFonts w:ascii="Arial" w:hAnsi="Arial" w:cs="Arial"/>
          <w:b/>
          <w:smallCaps/>
          <w:color w:val="000000" w:themeColor="text1"/>
        </w:rPr>
      </w:pPr>
    </w:p>
    <w:p w14:paraId="0ABC8B45" w14:textId="77777777" w:rsidR="00CE6011" w:rsidRPr="00CA1BB8" w:rsidRDefault="00CE6011" w:rsidP="00CE6011">
      <w:pPr>
        <w:spacing w:after="0" w:line="360" w:lineRule="auto"/>
        <w:jc w:val="both"/>
        <w:rPr>
          <w:rFonts w:ascii="Arial" w:hAnsi="Arial" w:cs="Arial"/>
          <w:b/>
          <w:smallCaps/>
          <w:color w:val="000000" w:themeColor="text1"/>
        </w:rPr>
      </w:pPr>
      <w:r w:rsidRPr="00CA1BB8">
        <w:rPr>
          <w:rFonts w:ascii="Arial" w:hAnsi="Arial" w:cs="Arial"/>
          <w:b/>
          <w:smallCaps/>
          <w:color w:val="000000" w:themeColor="text1"/>
        </w:rPr>
        <w:t>capítulo iii de la equidad de la educación. sección segunda.- de los planes y programas de estudio.</w:t>
      </w:r>
    </w:p>
    <w:p w14:paraId="7E378EA2" w14:textId="77777777" w:rsidR="00CE6011" w:rsidRPr="00CA1BB8" w:rsidRDefault="00CE6011" w:rsidP="00CE6011">
      <w:pPr>
        <w:spacing w:after="0" w:line="360" w:lineRule="auto"/>
        <w:jc w:val="both"/>
        <w:rPr>
          <w:rFonts w:ascii="Arial" w:hAnsi="Arial" w:cs="Arial"/>
          <w:color w:val="000000" w:themeColor="text1"/>
        </w:rPr>
      </w:pPr>
      <w:r w:rsidRPr="00CA1BB8">
        <w:rPr>
          <w:rFonts w:ascii="Arial" w:hAnsi="Arial" w:cs="Arial"/>
          <w:b/>
          <w:smallCaps/>
          <w:color w:val="000000" w:themeColor="text1"/>
        </w:rPr>
        <w:t>artículo 47.</w:t>
      </w:r>
      <w:r w:rsidRPr="00CA1BB8">
        <w:rPr>
          <w:rFonts w:ascii="Arial" w:hAnsi="Arial" w:cs="Arial"/>
          <w:b/>
          <w:color w:val="000000" w:themeColor="text1"/>
        </w:rPr>
        <w:t xml:space="preserve"> </w:t>
      </w:r>
      <w:r w:rsidRPr="00CA1BB8">
        <w:rPr>
          <w:rFonts w:ascii="Arial" w:hAnsi="Arial" w:cs="Arial"/>
          <w:color w:val="000000" w:themeColor="text1"/>
        </w:rPr>
        <w:t>Los contenidos de la educación serán definidos en planes y programas de estudio. En los planes de estudio deberán establecerse:</w:t>
      </w:r>
    </w:p>
    <w:p w14:paraId="3467E260" w14:textId="77777777" w:rsidR="00CE6011" w:rsidRPr="00CA1BB8" w:rsidRDefault="00CE6011" w:rsidP="00CE6011">
      <w:pPr>
        <w:pStyle w:val="Prrafodelista"/>
        <w:numPr>
          <w:ilvl w:val="0"/>
          <w:numId w:val="2"/>
        </w:numPr>
        <w:spacing w:after="0" w:line="360" w:lineRule="auto"/>
        <w:jc w:val="both"/>
        <w:rPr>
          <w:rFonts w:ascii="Arial" w:hAnsi="Arial" w:cs="Arial"/>
          <w:color w:val="000000" w:themeColor="text1"/>
        </w:rPr>
      </w:pPr>
      <w:r w:rsidRPr="006E17BC">
        <w:rPr>
          <w:rFonts w:ascii="Arial" w:hAnsi="Arial" w:cs="Arial"/>
          <w:color w:val="000000" w:themeColor="text1"/>
        </w:rPr>
        <w:t>Los propósitos de formación general y, en su caso, la adquisición de conocimientos, habilidades, capacidades y destrezas que correspondan a cada nivel educativo</w:t>
      </w:r>
      <w:r w:rsidRPr="00CA1BB8">
        <w:rPr>
          <w:rFonts w:ascii="Arial" w:hAnsi="Arial" w:cs="Arial"/>
          <w:color w:val="000000" w:themeColor="text1"/>
        </w:rPr>
        <w:t>;</w:t>
      </w:r>
    </w:p>
    <w:p w14:paraId="10644ABB" w14:textId="77777777" w:rsidR="00CE6011" w:rsidRPr="0087771B" w:rsidRDefault="00CE6011" w:rsidP="00CE6011">
      <w:pPr>
        <w:pStyle w:val="Prrafodelista"/>
        <w:numPr>
          <w:ilvl w:val="0"/>
          <w:numId w:val="2"/>
        </w:numPr>
        <w:spacing w:after="0" w:line="360" w:lineRule="auto"/>
        <w:jc w:val="both"/>
        <w:rPr>
          <w:rFonts w:ascii="Arial" w:hAnsi="Arial" w:cs="Arial"/>
          <w:color w:val="000000" w:themeColor="text1"/>
        </w:rPr>
      </w:pPr>
      <w:r w:rsidRPr="0087771B">
        <w:rPr>
          <w:rFonts w:ascii="Arial" w:hAnsi="Arial" w:cs="Arial"/>
          <w:color w:val="000000" w:themeColor="text1"/>
        </w:rPr>
        <w:t>Los contenidos fundamentales de estudio, organizados en asignaturas u otras unidades de aprendizaje que, como mínimo, el educando deba acreditar para cumplir los propósitos de cada nivel educativo;</w:t>
      </w:r>
    </w:p>
    <w:p w14:paraId="729390D7" w14:textId="77777777" w:rsidR="00CE6011" w:rsidRPr="0087771B" w:rsidRDefault="00CE6011" w:rsidP="00CE6011">
      <w:pPr>
        <w:pStyle w:val="Prrafodelista"/>
        <w:numPr>
          <w:ilvl w:val="0"/>
          <w:numId w:val="2"/>
        </w:numPr>
        <w:spacing w:after="0" w:line="360" w:lineRule="auto"/>
        <w:jc w:val="both"/>
        <w:rPr>
          <w:rFonts w:ascii="Arial" w:hAnsi="Arial" w:cs="Arial"/>
          <w:color w:val="000000" w:themeColor="text1"/>
        </w:rPr>
      </w:pPr>
      <w:r w:rsidRPr="0087771B">
        <w:rPr>
          <w:rFonts w:ascii="Arial" w:hAnsi="Arial" w:cs="Arial"/>
          <w:color w:val="000000" w:themeColor="text1"/>
        </w:rPr>
        <w:t>Las secuencias indispensables que deben respetarse entre las asignaturas o unidades de aprendizaje que constituyen un nivel educativo, y</w:t>
      </w:r>
    </w:p>
    <w:p w14:paraId="22288F0E" w14:textId="77777777" w:rsidR="00CE6011" w:rsidRPr="0087771B" w:rsidRDefault="00CE6011" w:rsidP="00CE6011">
      <w:pPr>
        <w:pStyle w:val="Prrafodelista"/>
        <w:numPr>
          <w:ilvl w:val="0"/>
          <w:numId w:val="2"/>
        </w:numPr>
        <w:spacing w:after="0" w:line="360" w:lineRule="auto"/>
        <w:jc w:val="both"/>
        <w:rPr>
          <w:rFonts w:ascii="Arial" w:hAnsi="Arial" w:cs="Arial"/>
          <w:color w:val="000000" w:themeColor="text1"/>
        </w:rPr>
      </w:pPr>
      <w:r w:rsidRPr="0087771B">
        <w:rPr>
          <w:rFonts w:ascii="Arial" w:hAnsi="Arial" w:cs="Arial"/>
          <w:color w:val="000000" w:themeColor="text1"/>
        </w:rPr>
        <w:t>Los criterios y procedimientos de evaluación y acreditación para verificar que el educando cumple los propósitos de cada nivel educativo.</w:t>
      </w:r>
    </w:p>
    <w:p w14:paraId="0904C4CF" w14:textId="77777777" w:rsidR="00CE6011" w:rsidRPr="00CA1BB8" w:rsidRDefault="00CE6011" w:rsidP="00CE6011">
      <w:pPr>
        <w:spacing w:after="0" w:line="360" w:lineRule="auto"/>
        <w:jc w:val="both"/>
        <w:rPr>
          <w:rFonts w:ascii="Arial" w:hAnsi="Arial" w:cs="Arial"/>
          <w:color w:val="000000" w:themeColor="text1"/>
        </w:rPr>
      </w:pPr>
      <w:r w:rsidRPr="00CA1BB8">
        <w:rPr>
          <w:rFonts w:ascii="Arial" w:hAnsi="Arial" w:cs="Arial"/>
          <w:color w:val="000000" w:themeColor="text1"/>
        </w:rPr>
        <w:t>En los programas de estudio deberán establecerse los propósitos específicos de aprendizaje de las asignaturas u otras unidades de aprendizaje dentro de un plan de estudios, así como los criterios y procedimientos para evaluar y acreditar su cumplimiento. Podrán incluir sugerencia sobre métodos y actividades para alcanzar dichos propósitos.</w:t>
      </w:r>
    </w:p>
    <w:p w14:paraId="16FEFFEF" w14:textId="77777777" w:rsidR="00CE6011" w:rsidRPr="00CA1BB8" w:rsidRDefault="00CE6011" w:rsidP="00CE6011">
      <w:pPr>
        <w:spacing w:after="0" w:line="360" w:lineRule="auto"/>
        <w:jc w:val="both"/>
        <w:rPr>
          <w:rFonts w:ascii="Arial" w:hAnsi="Arial" w:cs="Arial"/>
          <w:color w:val="000000" w:themeColor="text1"/>
        </w:rPr>
      </w:pPr>
      <w:r w:rsidRPr="00CA1BB8">
        <w:rPr>
          <w:rFonts w:ascii="Arial" w:hAnsi="Arial" w:cs="Arial"/>
          <w:color w:val="000000" w:themeColor="text1"/>
        </w:rPr>
        <w:lastRenderedPageBreak/>
        <w:t xml:space="preserve">Siendo la Universidad La Salle una Institución de Educación Privada se atiene en mayor medida a la normatividad especificada en el </w:t>
      </w:r>
      <w:r w:rsidRPr="00CA1BB8">
        <w:rPr>
          <w:rFonts w:ascii="Arial" w:hAnsi="Arial" w:cs="Arial"/>
          <w:b/>
          <w:smallCaps/>
          <w:color w:val="000000" w:themeColor="text1"/>
        </w:rPr>
        <w:t>capítulo v. de la educación que impartan los particulares</w:t>
      </w:r>
      <w:r w:rsidRPr="00CA1BB8">
        <w:rPr>
          <w:rFonts w:ascii="Arial" w:hAnsi="Arial" w:cs="Arial"/>
          <w:color w:val="000000" w:themeColor="text1"/>
        </w:rPr>
        <w:t>, que establece lo siguiente:</w:t>
      </w:r>
    </w:p>
    <w:p w14:paraId="4FAD3948" w14:textId="77777777" w:rsidR="00CE6011" w:rsidRDefault="00CE6011" w:rsidP="00CE6011">
      <w:pPr>
        <w:spacing w:after="0" w:line="360" w:lineRule="auto"/>
        <w:jc w:val="both"/>
        <w:rPr>
          <w:rFonts w:ascii="Arial" w:hAnsi="Arial" w:cs="Arial"/>
          <w:b/>
          <w:smallCaps/>
          <w:color w:val="000000" w:themeColor="text1"/>
        </w:rPr>
      </w:pPr>
    </w:p>
    <w:p w14:paraId="437B679B" w14:textId="77777777" w:rsidR="00CE6011" w:rsidRPr="00CA1BB8" w:rsidRDefault="00CE6011" w:rsidP="00CE6011">
      <w:pPr>
        <w:spacing w:after="0" w:line="360" w:lineRule="auto"/>
        <w:jc w:val="both"/>
        <w:rPr>
          <w:rFonts w:ascii="Arial" w:hAnsi="Arial" w:cs="Arial"/>
          <w:color w:val="000000" w:themeColor="text1"/>
        </w:rPr>
      </w:pPr>
      <w:r w:rsidRPr="00CA1BB8">
        <w:rPr>
          <w:rFonts w:ascii="Arial" w:hAnsi="Arial" w:cs="Arial"/>
          <w:b/>
          <w:smallCaps/>
          <w:color w:val="000000" w:themeColor="text1"/>
        </w:rPr>
        <w:t>artículo 54.-</w:t>
      </w:r>
      <w:r w:rsidRPr="00CA1BB8">
        <w:rPr>
          <w:rFonts w:ascii="Arial" w:hAnsi="Arial" w:cs="Arial"/>
          <w:color w:val="000000" w:themeColor="text1"/>
        </w:rPr>
        <w:t xml:space="preserve"> Los particulares podrán impartir educación en todos sus tipos y modalidades.</w:t>
      </w:r>
    </w:p>
    <w:p w14:paraId="70428716" w14:textId="77777777" w:rsidR="00CE6011" w:rsidRDefault="00CE6011" w:rsidP="00CE6011">
      <w:pPr>
        <w:spacing w:after="0" w:line="360" w:lineRule="auto"/>
        <w:jc w:val="both"/>
        <w:rPr>
          <w:rFonts w:ascii="Arial" w:hAnsi="Arial" w:cs="Arial"/>
          <w:color w:val="000000" w:themeColor="text1"/>
        </w:rPr>
      </w:pPr>
      <w:r w:rsidRPr="00CA1BB8">
        <w:rPr>
          <w:rFonts w:ascii="Arial" w:hAnsi="Arial" w:cs="Arial"/>
          <w:color w:val="000000" w:themeColor="text1"/>
        </w:rPr>
        <w:t>Por lo que concierne a la educación primaria, la secundaria, la normal y demás para la formación de maestros de educación básica, deberán obtener previamente, en cada caso, la autorización expresa del Estado</w:t>
      </w:r>
      <w:r>
        <w:rPr>
          <w:rFonts w:ascii="Arial" w:hAnsi="Arial" w:cs="Arial"/>
          <w:color w:val="000000" w:themeColor="text1"/>
        </w:rPr>
        <w:t>, t</w:t>
      </w:r>
      <w:r w:rsidRPr="00CA1BB8">
        <w:rPr>
          <w:rFonts w:ascii="Arial" w:hAnsi="Arial" w:cs="Arial"/>
          <w:color w:val="000000" w:themeColor="text1"/>
        </w:rPr>
        <w:t>ratándose de estudios distintos de los antes mencionados, podrá</w:t>
      </w:r>
      <w:r>
        <w:rPr>
          <w:rFonts w:ascii="Arial" w:hAnsi="Arial" w:cs="Arial"/>
          <w:color w:val="000000" w:themeColor="text1"/>
        </w:rPr>
        <w:t>n obtener el reconocimiento de v</w:t>
      </w:r>
      <w:r w:rsidRPr="00CA1BB8">
        <w:rPr>
          <w:rFonts w:ascii="Arial" w:hAnsi="Arial" w:cs="Arial"/>
          <w:color w:val="000000" w:themeColor="text1"/>
        </w:rPr>
        <w:t>al</w:t>
      </w:r>
      <w:r>
        <w:rPr>
          <w:rFonts w:ascii="Arial" w:hAnsi="Arial" w:cs="Arial"/>
          <w:color w:val="000000" w:themeColor="text1"/>
        </w:rPr>
        <w:t>i</w:t>
      </w:r>
      <w:r w:rsidRPr="00CA1BB8">
        <w:rPr>
          <w:rFonts w:ascii="Arial" w:hAnsi="Arial" w:cs="Arial"/>
          <w:color w:val="000000" w:themeColor="text1"/>
        </w:rPr>
        <w:t>dez oficial de estudios.</w:t>
      </w:r>
    </w:p>
    <w:p w14:paraId="434558C5" w14:textId="77777777" w:rsidR="00CE6011" w:rsidRPr="00CA1BB8" w:rsidRDefault="00CE6011" w:rsidP="00CE6011">
      <w:pPr>
        <w:spacing w:after="0" w:line="360" w:lineRule="auto"/>
        <w:jc w:val="both"/>
        <w:rPr>
          <w:rFonts w:ascii="Arial" w:hAnsi="Arial" w:cs="Arial"/>
          <w:color w:val="000000" w:themeColor="text1"/>
        </w:rPr>
      </w:pPr>
      <w:r w:rsidRPr="00CA1BB8">
        <w:rPr>
          <w:rFonts w:ascii="Arial" w:hAnsi="Arial" w:cs="Arial"/>
          <w:color w:val="000000" w:themeColor="text1"/>
        </w:rPr>
        <w:t>La autorización y el reconocimiento serán específicos para cada plan de estudios. Para impartir nuevos estudios se requerirá, según el caso, la autorización o el reconocimiento respectivos.</w:t>
      </w:r>
    </w:p>
    <w:p w14:paraId="566B481E" w14:textId="77777777" w:rsidR="00CE6011" w:rsidRPr="00CA1BB8" w:rsidRDefault="00CE6011" w:rsidP="00CE6011">
      <w:pPr>
        <w:spacing w:after="0" w:line="360" w:lineRule="auto"/>
        <w:jc w:val="both"/>
        <w:rPr>
          <w:rFonts w:ascii="Arial" w:hAnsi="Arial" w:cs="Arial"/>
          <w:color w:val="000000" w:themeColor="text1"/>
        </w:rPr>
      </w:pPr>
      <w:r w:rsidRPr="00CA1BB8">
        <w:rPr>
          <w:rFonts w:ascii="Arial" w:hAnsi="Arial" w:cs="Arial"/>
          <w:color w:val="000000" w:themeColor="text1"/>
        </w:rPr>
        <w:t>La autorización y el reconocimiento incorporan a las Instituciones que los obtengan, respecto de los estudios a que la propia autorización o dicho reconocimiento se refieren, al sistema educativo nacional.</w:t>
      </w:r>
    </w:p>
    <w:p w14:paraId="6CBA9CD5" w14:textId="77777777" w:rsidR="00CE6011" w:rsidRDefault="00CE6011" w:rsidP="00CE6011">
      <w:pPr>
        <w:spacing w:after="0" w:line="360" w:lineRule="auto"/>
        <w:jc w:val="both"/>
        <w:rPr>
          <w:rFonts w:ascii="Arial" w:hAnsi="Arial" w:cs="Arial"/>
          <w:b/>
          <w:smallCaps/>
          <w:color w:val="000000" w:themeColor="text1"/>
        </w:rPr>
      </w:pPr>
    </w:p>
    <w:p w14:paraId="4E1F93D6" w14:textId="77777777" w:rsidR="00CE6011" w:rsidRPr="00CA1BB8" w:rsidRDefault="00CE6011" w:rsidP="00CE6011">
      <w:pPr>
        <w:spacing w:after="0" w:line="360" w:lineRule="auto"/>
        <w:jc w:val="both"/>
        <w:rPr>
          <w:rFonts w:ascii="Arial" w:hAnsi="Arial" w:cs="Arial"/>
          <w:color w:val="000000" w:themeColor="text1"/>
        </w:rPr>
      </w:pPr>
      <w:r w:rsidRPr="00CA1BB8">
        <w:rPr>
          <w:rFonts w:ascii="Arial" w:hAnsi="Arial" w:cs="Arial"/>
          <w:b/>
          <w:smallCaps/>
          <w:color w:val="000000" w:themeColor="text1"/>
        </w:rPr>
        <w:t>Artículo 55</w:t>
      </w:r>
      <w:r w:rsidRPr="00CA1BB8">
        <w:rPr>
          <w:rFonts w:ascii="Arial" w:hAnsi="Arial" w:cs="Arial"/>
          <w:smallCaps/>
          <w:color w:val="000000" w:themeColor="text1"/>
        </w:rPr>
        <w:t>.-</w:t>
      </w:r>
      <w:r w:rsidRPr="00CA1BB8">
        <w:rPr>
          <w:rFonts w:ascii="Arial" w:hAnsi="Arial" w:cs="Arial"/>
          <w:color w:val="000000" w:themeColor="text1"/>
        </w:rPr>
        <w:t xml:space="preserve"> las autorizaciones y los reconocimientos de validez oficial de estudios se otorgarán cuando los solicitantes cuenten:</w:t>
      </w:r>
    </w:p>
    <w:p w14:paraId="2C774758" w14:textId="77777777" w:rsidR="00CE6011" w:rsidRPr="0087771B" w:rsidRDefault="00CE6011" w:rsidP="00CE6011">
      <w:pPr>
        <w:tabs>
          <w:tab w:val="left" w:pos="1134"/>
        </w:tabs>
        <w:spacing w:after="0" w:line="360" w:lineRule="auto"/>
        <w:ind w:left="709"/>
        <w:jc w:val="both"/>
        <w:rPr>
          <w:rFonts w:ascii="Arial" w:hAnsi="Arial" w:cs="Arial"/>
          <w:color w:val="000000" w:themeColor="text1"/>
        </w:rPr>
      </w:pPr>
      <w:r>
        <w:rPr>
          <w:rFonts w:ascii="Arial" w:hAnsi="Arial" w:cs="Arial"/>
          <w:color w:val="000000" w:themeColor="text1"/>
        </w:rPr>
        <w:t xml:space="preserve">I.- </w:t>
      </w:r>
      <w:r w:rsidRPr="0087771B">
        <w:rPr>
          <w:rFonts w:ascii="Arial" w:hAnsi="Arial" w:cs="Arial"/>
          <w:color w:val="000000" w:themeColor="text1"/>
        </w:rPr>
        <w:t>Con personal que acredite la preparación adecuada para impartir educación y, en su caso, satisfagan los demás requisitos a que se refiere el artículo 21;</w:t>
      </w:r>
    </w:p>
    <w:p w14:paraId="76F8C332" w14:textId="77777777" w:rsidR="00CE6011" w:rsidRPr="0087771B" w:rsidRDefault="00CE6011" w:rsidP="00CE6011">
      <w:pPr>
        <w:spacing w:after="0" w:line="360" w:lineRule="auto"/>
        <w:ind w:left="705"/>
        <w:jc w:val="both"/>
        <w:rPr>
          <w:rFonts w:ascii="Arial" w:hAnsi="Arial" w:cs="Arial"/>
          <w:color w:val="000000" w:themeColor="text1"/>
        </w:rPr>
      </w:pPr>
      <w:r w:rsidRPr="0087771B">
        <w:rPr>
          <w:rFonts w:ascii="Arial" w:hAnsi="Arial" w:cs="Arial"/>
          <w:color w:val="000000" w:themeColor="text1"/>
        </w:rPr>
        <w:t>II.- Con instalaciones que satisfagan las condiciones higiénicas, de seguridad, pedagógicas y de accesibilidad que la autoridad otorgante determine, conforme a los términos que señalen las disposiciones aplicables. Para establecer un nuevo plantel se requerirá, según el caso, una nueva autorización o un nuevo reconocimiento, y</w:t>
      </w:r>
    </w:p>
    <w:p w14:paraId="40655943" w14:textId="77777777" w:rsidR="00CE6011" w:rsidRPr="0087771B" w:rsidRDefault="00CE6011" w:rsidP="00CE6011">
      <w:pPr>
        <w:spacing w:after="0" w:line="360" w:lineRule="auto"/>
        <w:ind w:left="705"/>
        <w:jc w:val="both"/>
        <w:rPr>
          <w:rFonts w:ascii="Arial" w:hAnsi="Arial" w:cs="Arial"/>
          <w:color w:val="000000" w:themeColor="text1"/>
        </w:rPr>
      </w:pPr>
      <w:r w:rsidRPr="0087771B">
        <w:rPr>
          <w:rFonts w:ascii="Arial" w:hAnsi="Arial" w:cs="Arial"/>
          <w:color w:val="000000" w:themeColor="text1"/>
        </w:rPr>
        <w:t>III.- Con planes y programas de estudio que la autoridad otorgante considere procedentes, en el caso de educación distinta de la preescolar, la primaria, la secundaria, la normal, y demás para la formación de maestros de educación básica.</w:t>
      </w:r>
    </w:p>
    <w:p w14:paraId="0B1E422C" w14:textId="77777777" w:rsidR="00CE6011" w:rsidRPr="00CA1BB8" w:rsidRDefault="00CE6011" w:rsidP="00CE6011">
      <w:pPr>
        <w:spacing w:after="0" w:line="360" w:lineRule="auto"/>
        <w:jc w:val="both"/>
        <w:rPr>
          <w:rFonts w:ascii="Arial" w:hAnsi="Arial" w:cs="Arial"/>
          <w:color w:val="000000" w:themeColor="text1"/>
        </w:rPr>
      </w:pPr>
      <w:r w:rsidRPr="00CA1BB8">
        <w:rPr>
          <w:rFonts w:ascii="Arial" w:hAnsi="Arial" w:cs="Arial"/>
          <w:b/>
          <w:smallCaps/>
          <w:color w:val="000000" w:themeColor="text1"/>
        </w:rPr>
        <w:t>Artículo 57</w:t>
      </w:r>
      <w:r w:rsidRPr="00CA1BB8">
        <w:rPr>
          <w:rFonts w:ascii="Arial" w:hAnsi="Arial" w:cs="Arial"/>
          <w:b/>
          <w:color w:val="000000" w:themeColor="text1"/>
        </w:rPr>
        <w:t>.-</w:t>
      </w:r>
      <w:r w:rsidRPr="00CA1BB8">
        <w:rPr>
          <w:rFonts w:ascii="Arial" w:hAnsi="Arial" w:cs="Arial"/>
          <w:color w:val="000000" w:themeColor="text1"/>
        </w:rPr>
        <w:t xml:space="preserve"> Los particulares que impartan educación con autorización o con reconocimiento deberán:</w:t>
      </w:r>
    </w:p>
    <w:p w14:paraId="22DD5BDE" w14:textId="77777777" w:rsidR="00CE6011" w:rsidRPr="0087771B" w:rsidRDefault="00CE6011" w:rsidP="00CE6011">
      <w:pPr>
        <w:tabs>
          <w:tab w:val="left" w:pos="1134"/>
        </w:tabs>
        <w:spacing w:after="0" w:line="360" w:lineRule="auto"/>
        <w:ind w:left="709"/>
        <w:jc w:val="both"/>
        <w:rPr>
          <w:rFonts w:ascii="Arial" w:hAnsi="Arial" w:cs="Arial"/>
          <w:color w:val="000000" w:themeColor="text1"/>
        </w:rPr>
      </w:pPr>
      <w:r>
        <w:rPr>
          <w:rFonts w:ascii="Arial" w:hAnsi="Arial" w:cs="Arial"/>
          <w:color w:val="000000" w:themeColor="text1"/>
        </w:rPr>
        <w:t xml:space="preserve"> I.- </w:t>
      </w:r>
      <w:r w:rsidRPr="0087771B">
        <w:rPr>
          <w:rFonts w:ascii="Arial" w:hAnsi="Arial" w:cs="Arial"/>
          <w:color w:val="000000" w:themeColor="text1"/>
        </w:rPr>
        <w:t>Cumplir con lo dispuesto en el artículo 3o. de la Constitución Política de los Estados Unidos Mexicanos, en la presente Ley y demás disposiciones aplicables;</w:t>
      </w:r>
    </w:p>
    <w:p w14:paraId="211A0ADF" w14:textId="77777777" w:rsidR="00CE6011" w:rsidRPr="0087771B" w:rsidRDefault="00CE6011" w:rsidP="00CE6011">
      <w:pPr>
        <w:tabs>
          <w:tab w:val="left" w:pos="1134"/>
        </w:tabs>
        <w:spacing w:after="0" w:line="360" w:lineRule="auto"/>
        <w:ind w:left="709"/>
        <w:jc w:val="both"/>
        <w:rPr>
          <w:rFonts w:ascii="Arial" w:hAnsi="Arial" w:cs="Arial"/>
          <w:color w:val="000000" w:themeColor="text1"/>
        </w:rPr>
      </w:pPr>
      <w:r w:rsidRPr="0087771B">
        <w:rPr>
          <w:rFonts w:ascii="Arial" w:hAnsi="Arial" w:cs="Arial"/>
          <w:color w:val="000000" w:themeColor="text1"/>
        </w:rPr>
        <w:t>II.- Cumplir con los planes y programas de estudio que las autoridades educativas competentes hayan determinado o considerado procedentes;</w:t>
      </w:r>
    </w:p>
    <w:p w14:paraId="7F1FE1D4" w14:textId="77777777" w:rsidR="00CE6011" w:rsidRPr="0087771B" w:rsidRDefault="00CE6011" w:rsidP="00CE6011">
      <w:pPr>
        <w:tabs>
          <w:tab w:val="left" w:pos="1134"/>
        </w:tabs>
        <w:spacing w:after="0" w:line="360" w:lineRule="auto"/>
        <w:ind w:left="709"/>
        <w:jc w:val="both"/>
        <w:rPr>
          <w:rFonts w:ascii="Arial" w:hAnsi="Arial" w:cs="Arial"/>
          <w:color w:val="000000" w:themeColor="text1"/>
        </w:rPr>
      </w:pPr>
      <w:r w:rsidRPr="0087771B">
        <w:rPr>
          <w:rFonts w:ascii="Arial" w:hAnsi="Arial" w:cs="Arial"/>
          <w:color w:val="000000" w:themeColor="text1"/>
        </w:rPr>
        <w:lastRenderedPageBreak/>
        <w:t>III.- Proporcionar un mínimo de becas en los términos de los lineamientos generales que la autoridad que otorgue las autorizaciones o reconocimientos haya determinado;</w:t>
      </w:r>
    </w:p>
    <w:p w14:paraId="05277389" w14:textId="77777777" w:rsidR="00CE6011" w:rsidRPr="0087771B" w:rsidRDefault="00CE6011" w:rsidP="00CE6011">
      <w:pPr>
        <w:tabs>
          <w:tab w:val="left" w:pos="1134"/>
        </w:tabs>
        <w:spacing w:after="0" w:line="360" w:lineRule="auto"/>
        <w:ind w:left="709"/>
        <w:jc w:val="both"/>
        <w:rPr>
          <w:rFonts w:ascii="Arial" w:hAnsi="Arial" w:cs="Arial"/>
          <w:color w:val="000000" w:themeColor="text1"/>
        </w:rPr>
      </w:pPr>
      <w:r w:rsidRPr="0087771B">
        <w:rPr>
          <w:rFonts w:ascii="Arial" w:hAnsi="Arial" w:cs="Arial"/>
          <w:color w:val="000000" w:themeColor="text1"/>
        </w:rPr>
        <w:t>IV.- Cumplir los requisitos previstos en el artículo 55, y</w:t>
      </w:r>
    </w:p>
    <w:p w14:paraId="55880970" w14:textId="77777777" w:rsidR="00CE6011" w:rsidRPr="0087771B" w:rsidRDefault="00CE6011" w:rsidP="00CE6011">
      <w:pPr>
        <w:tabs>
          <w:tab w:val="left" w:pos="1134"/>
        </w:tabs>
        <w:spacing w:after="0" w:line="360" w:lineRule="auto"/>
        <w:ind w:left="709"/>
        <w:jc w:val="both"/>
        <w:rPr>
          <w:rFonts w:ascii="Arial" w:hAnsi="Arial" w:cs="Arial"/>
          <w:color w:val="000000" w:themeColor="text1"/>
        </w:rPr>
      </w:pPr>
      <w:r w:rsidRPr="0087771B">
        <w:rPr>
          <w:rFonts w:ascii="Arial" w:hAnsi="Arial" w:cs="Arial"/>
          <w:color w:val="000000" w:themeColor="text1"/>
        </w:rPr>
        <w:t>V.- Facilitar y colaborar en las actividades de evaluación, inspección y vigilancia que las autoridades competentes realicen u ordenen.</w:t>
      </w:r>
    </w:p>
    <w:p w14:paraId="5EDEF024" w14:textId="77777777" w:rsidR="00CE6011" w:rsidRPr="00CA1BB8" w:rsidRDefault="00CE6011" w:rsidP="00CE6011">
      <w:pPr>
        <w:spacing w:after="0" w:line="360" w:lineRule="auto"/>
        <w:jc w:val="both"/>
        <w:rPr>
          <w:rFonts w:ascii="Arial" w:hAnsi="Arial" w:cs="Arial"/>
          <w:b/>
          <w:smallCaps/>
          <w:color w:val="000000" w:themeColor="text1"/>
        </w:rPr>
      </w:pPr>
    </w:p>
    <w:p w14:paraId="29AF88D8" w14:textId="77777777" w:rsidR="00CE6011" w:rsidRPr="00CA1BB8" w:rsidRDefault="00CE6011" w:rsidP="00CE6011">
      <w:pPr>
        <w:spacing w:after="0" w:line="360" w:lineRule="auto"/>
        <w:jc w:val="both"/>
        <w:rPr>
          <w:rFonts w:ascii="Arial" w:hAnsi="Arial" w:cs="Arial"/>
          <w:smallCaps/>
          <w:color w:val="000000" w:themeColor="text1"/>
        </w:rPr>
      </w:pPr>
      <w:r w:rsidRPr="00CA1BB8">
        <w:rPr>
          <w:rFonts w:ascii="Arial" w:hAnsi="Arial" w:cs="Arial"/>
          <w:b/>
          <w:smallCaps/>
          <w:color w:val="000000" w:themeColor="text1"/>
        </w:rPr>
        <w:t xml:space="preserve">capítulo vi. de la validez oficial de estudios y de la certificación de conocimientos. </w:t>
      </w:r>
    </w:p>
    <w:p w14:paraId="4E21924C" w14:textId="77777777" w:rsidR="00CE6011" w:rsidRPr="00CA1BB8" w:rsidRDefault="00CE6011" w:rsidP="00CE6011">
      <w:pPr>
        <w:spacing w:after="0" w:line="360" w:lineRule="auto"/>
        <w:jc w:val="both"/>
        <w:rPr>
          <w:rFonts w:ascii="Arial" w:hAnsi="Arial" w:cs="Arial"/>
          <w:color w:val="000000" w:themeColor="text1"/>
        </w:rPr>
      </w:pPr>
      <w:r w:rsidRPr="00CA1BB8">
        <w:rPr>
          <w:rFonts w:ascii="Arial" w:hAnsi="Arial" w:cs="Arial"/>
          <w:b/>
          <w:smallCaps/>
          <w:color w:val="000000" w:themeColor="text1"/>
        </w:rPr>
        <w:t>Artículo 60.-</w:t>
      </w:r>
      <w:r w:rsidRPr="00CA1BB8">
        <w:rPr>
          <w:rFonts w:ascii="Arial" w:hAnsi="Arial" w:cs="Arial"/>
          <w:color w:val="000000" w:themeColor="text1"/>
        </w:rPr>
        <w:t xml:space="preserve"> Los estudios realizados dentro del </w:t>
      </w:r>
      <w:r>
        <w:rPr>
          <w:rFonts w:ascii="Arial" w:hAnsi="Arial" w:cs="Arial"/>
          <w:color w:val="000000" w:themeColor="text1"/>
        </w:rPr>
        <w:t>s</w:t>
      </w:r>
      <w:r w:rsidRPr="00CA1BB8">
        <w:rPr>
          <w:rFonts w:ascii="Arial" w:hAnsi="Arial" w:cs="Arial"/>
          <w:color w:val="000000" w:themeColor="text1"/>
        </w:rPr>
        <w:t xml:space="preserve">istema </w:t>
      </w:r>
      <w:r>
        <w:rPr>
          <w:rFonts w:ascii="Arial" w:hAnsi="Arial" w:cs="Arial"/>
          <w:color w:val="000000" w:themeColor="text1"/>
        </w:rPr>
        <w:t>e</w:t>
      </w:r>
      <w:r w:rsidRPr="00CA1BB8">
        <w:rPr>
          <w:rFonts w:ascii="Arial" w:hAnsi="Arial" w:cs="Arial"/>
          <w:color w:val="000000" w:themeColor="text1"/>
        </w:rPr>
        <w:t xml:space="preserve">ducativo </w:t>
      </w:r>
      <w:r>
        <w:rPr>
          <w:rFonts w:ascii="Arial" w:hAnsi="Arial" w:cs="Arial"/>
          <w:color w:val="000000" w:themeColor="text1"/>
        </w:rPr>
        <w:t>n</w:t>
      </w:r>
      <w:r w:rsidRPr="00CA1BB8">
        <w:rPr>
          <w:rFonts w:ascii="Arial" w:hAnsi="Arial" w:cs="Arial"/>
          <w:color w:val="000000" w:themeColor="text1"/>
        </w:rPr>
        <w:t>acional tendrán validez en toda la República.</w:t>
      </w:r>
    </w:p>
    <w:p w14:paraId="78F6408D" w14:textId="77777777" w:rsidR="00CE6011" w:rsidRPr="00785BE1" w:rsidRDefault="00CE6011" w:rsidP="00CE6011">
      <w:pPr>
        <w:spacing w:after="0" w:line="360" w:lineRule="auto"/>
        <w:jc w:val="both"/>
        <w:rPr>
          <w:rFonts w:ascii="Arial" w:hAnsi="Arial" w:cs="Arial"/>
          <w:color w:val="000000" w:themeColor="text1"/>
        </w:rPr>
      </w:pPr>
      <w:r w:rsidRPr="00CA1BB8">
        <w:rPr>
          <w:rFonts w:ascii="Arial" w:hAnsi="Arial" w:cs="Arial"/>
          <w:color w:val="000000" w:themeColor="text1"/>
        </w:rPr>
        <w:t xml:space="preserve">Las instituciones del sistema educativo nacional expedirán certificados y otorgarán constancias, diplomas, títulos o grados académicos a las personas que hayan concluido estudios de conformidad con los requisitos establecidos en los planes y programas de estudio correspondientes. </w:t>
      </w:r>
      <w:r w:rsidRPr="00785BE1">
        <w:rPr>
          <w:rFonts w:ascii="Arial" w:hAnsi="Arial" w:cs="Arial"/>
          <w:color w:val="000000" w:themeColor="text1"/>
        </w:rPr>
        <w:t>Dichos certificados, constancias, diplomas, títulos y grados deberán registrarse en el Sistema de Información y Gestión Educativa y tendrán validez en toda la República.</w:t>
      </w:r>
    </w:p>
    <w:p w14:paraId="1A17645A" w14:textId="77777777" w:rsidR="00CE6011" w:rsidRPr="00CA1BB8" w:rsidRDefault="00CE6011" w:rsidP="00CE6011">
      <w:pPr>
        <w:spacing w:after="0" w:line="360" w:lineRule="auto"/>
        <w:jc w:val="both"/>
        <w:rPr>
          <w:rFonts w:ascii="Arial" w:hAnsi="Arial" w:cs="Arial"/>
          <w:color w:val="000000" w:themeColor="text1"/>
        </w:rPr>
      </w:pPr>
      <w:r w:rsidRPr="00CA1BB8">
        <w:rPr>
          <w:rFonts w:ascii="Arial" w:hAnsi="Arial" w:cs="Arial"/>
          <w:color w:val="000000" w:themeColor="text1"/>
        </w:rPr>
        <w:t>La Secretaría promoverá que los estudios con validez oficial en la República sean reconocidos en el extranjero.</w:t>
      </w:r>
    </w:p>
    <w:p w14:paraId="0E717F61" w14:textId="77777777" w:rsidR="00CE6011" w:rsidRPr="00CA1BB8" w:rsidRDefault="00CE6011" w:rsidP="00CE6011">
      <w:pPr>
        <w:spacing w:after="0" w:line="360" w:lineRule="auto"/>
        <w:jc w:val="both"/>
        <w:rPr>
          <w:rFonts w:ascii="Arial" w:hAnsi="Arial" w:cs="Arial"/>
          <w:color w:val="000000" w:themeColor="text1"/>
        </w:rPr>
      </w:pPr>
    </w:p>
    <w:p w14:paraId="333065EF" w14:textId="77777777" w:rsidR="00CE6011" w:rsidRPr="00CA1BB8" w:rsidRDefault="00CE6011" w:rsidP="00CE6011">
      <w:pPr>
        <w:spacing w:after="0" w:line="360" w:lineRule="auto"/>
        <w:jc w:val="both"/>
        <w:rPr>
          <w:rFonts w:ascii="Arial" w:hAnsi="Arial" w:cs="Arial"/>
          <w:b/>
          <w:smallCaps/>
          <w:color w:val="000000" w:themeColor="text1"/>
        </w:rPr>
      </w:pPr>
      <w:r w:rsidRPr="00CA1BB8">
        <w:rPr>
          <w:rFonts w:ascii="Arial" w:hAnsi="Arial" w:cs="Arial"/>
          <w:b/>
          <w:smallCaps/>
          <w:color w:val="000000" w:themeColor="text1"/>
        </w:rPr>
        <w:t xml:space="preserve">ley reglamentaria del artículo 5º constitucional, relativo al ejercicio de las profesiones en </w:t>
      </w:r>
      <w:r>
        <w:rPr>
          <w:rFonts w:ascii="Arial" w:hAnsi="Arial" w:cs="Arial"/>
          <w:b/>
          <w:smallCaps/>
          <w:color w:val="000000" w:themeColor="text1"/>
        </w:rPr>
        <w:t>la Ciudad de México.</w:t>
      </w:r>
      <w:r>
        <w:rPr>
          <w:rStyle w:val="Refdenotaalpie"/>
          <w:rFonts w:ascii="Arial" w:hAnsi="Arial"/>
          <w:b/>
          <w:smallCaps/>
          <w:color w:val="000000" w:themeColor="text1"/>
        </w:rPr>
        <w:footnoteReference w:id="72"/>
      </w:r>
    </w:p>
    <w:p w14:paraId="7AD7237B" w14:textId="77777777" w:rsidR="00CE6011" w:rsidRPr="00CA1BB8" w:rsidRDefault="00CE6011" w:rsidP="00CE6011">
      <w:pPr>
        <w:spacing w:after="0" w:line="360" w:lineRule="auto"/>
        <w:jc w:val="both"/>
        <w:rPr>
          <w:rFonts w:ascii="Arial" w:hAnsi="Arial" w:cs="Arial"/>
          <w:b/>
          <w:smallCaps/>
          <w:color w:val="000000" w:themeColor="text1"/>
        </w:rPr>
      </w:pPr>
      <w:r w:rsidRPr="00CA1BB8">
        <w:rPr>
          <w:rFonts w:ascii="Arial" w:hAnsi="Arial" w:cs="Arial"/>
          <w:b/>
          <w:smallCaps/>
          <w:color w:val="000000" w:themeColor="text1"/>
        </w:rPr>
        <w:t>capítulo ii</w:t>
      </w:r>
      <w:r>
        <w:rPr>
          <w:rFonts w:ascii="Arial" w:hAnsi="Arial" w:cs="Arial"/>
          <w:b/>
          <w:smallCaps/>
          <w:color w:val="000000" w:themeColor="text1"/>
        </w:rPr>
        <w:t xml:space="preserve"> </w:t>
      </w:r>
      <w:r w:rsidRPr="00CA1BB8">
        <w:rPr>
          <w:rFonts w:ascii="Arial" w:hAnsi="Arial" w:cs="Arial"/>
          <w:b/>
          <w:smallCaps/>
          <w:color w:val="000000" w:themeColor="text1"/>
        </w:rPr>
        <w:t>condiciones que deben llenarse para obtener un título profesional</w:t>
      </w:r>
    </w:p>
    <w:p w14:paraId="2A791301" w14:textId="77777777" w:rsidR="00CE6011" w:rsidRDefault="00CE6011" w:rsidP="00CE6011">
      <w:pPr>
        <w:spacing w:after="0" w:line="360" w:lineRule="auto"/>
        <w:jc w:val="both"/>
        <w:rPr>
          <w:rFonts w:ascii="Arial" w:hAnsi="Arial" w:cs="Arial"/>
          <w:color w:val="000000" w:themeColor="text1"/>
        </w:rPr>
      </w:pPr>
      <w:r w:rsidRPr="00923FEE">
        <w:rPr>
          <w:rFonts w:ascii="Arial" w:hAnsi="Arial" w:cs="Arial"/>
          <w:b/>
          <w:smallCaps/>
          <w:color w:val="000000" w:themeColor="text1"/>
        </w:rPr>
        <w:t>Artículo 8.-</w:t>
      </w:r>
      <w:r w:rsidRPr="00CA1BB8">
        <w:rPr>
          <w:rFonts w:ascii="Arial" w:hAnsi="Arial" w:cs="Arial"/>
          <w:color w:val="000000" w:themeColor="text1"/>
        </w:rPr>
        <w:t xml:space="preserve"> Para obtener un título profesional es indispensable acreditar que se han cumplido los requisitos académicos previstos por las leyes aplicables.</w:t>
      </w:r>
    </w:p>
    <w:p w14:paraId="01DAE7CE" w14:textId="77777777" w:rsidR="00CE6011" w:rsidRPr="00CA1BB8" w:rsidRDefault="00CE6011" w:rsidP="00CE6011">
      <w:pPr>
        <w:spacing w:after="0" w:line="360" w:lineRule="auto"/>
        <w:jc w:val="both"/>
        <w:rPr>
          <w:rFonts w:ascii="Arial" w:hAnsi="Arial" w:cs="Arial"/>
          <w:color w:val="000000" w:themeColor="text1"/>
        </w:rPr>
      </w:pPr>
      <w:r w:rsidRPr="00923FEE">
        <w:rPr>
          <w:rFonts w:ascii="Arial" w:hAnsi="Arial" w:cs="Arial"/>
          <w:b/>
          <w:smallCaps/>
          <w:color w:val="000000" w:themeColor="text1"/>
        </w:rPr>
        <w:t>Artículo 9.-</w:t>
      </w:r>
      <w:r w:rsidRPr="00CA1BB8">
        <w:rPr>
          <w:rFonts w:ascii="Arial" w:hAnsi="Arial" w:cs="Arial"/>
          <w:color w:val="000000" w:themeColor="text1"/>
        </w:rPr>
        <w:t xml:space="preserve"> Para que pueda registrarse un título profesional expedido por </w:t>
      </w:r>
      <w:r>
        <w:rPr>
          <w:rFonts w:ascii="Arial" w:hAnsi="Arial" w:cs="Arial"/>
          <w:color w:val="000000" w:themeColor="text1"/>
        </w:rPr>
        <w:t>una</w:t>
      </w:r>
      <w:r w:rsidRPr="00CA1BB8">
        <w:rPr>
          <w:rFonts w:ascii="Arial" w:hAnsi="Arial" w:cs="Arial"/>
          <w:color w:val="000000" w:themeColor="text1"/>
        </w:rPr>
        <w:t xml:space="preserve"> institución que no forme parte del </w:t>
      </w:r>
      <w:r>
        <w:rPr>
          <w:rFonts w:ascii="Arial" w:hAnsi="Arial" w:cs="Arial"/>
          <w:color w:val="000000" w:themeColor="text1"/>
        </w:rPr>
        <w:t>S</w:t>
      </w:r>
      <w:r w:rsidRPr="00CA1BB8">
        <w:rPr>
          <w:rFonts w:ascii="Arial" w:hAnsi="Arial" w:cs="Arial"/>
          <w:color w:val="000000" w:themeColor="text1"/>
        </w:rPr>
        <w:t>istema Educativo Nacional será necesario que la Secretaría de Educación Pública revalide, en su caso, los estudios correspondientes y que el interesado acredite haber prestado servicio social.</w:t>
      </w:r>
    </w:p>
    <w:p w14:paraId="45FB8687" w14:textId="77777777" w:rsidR="00CE6011" w:rsidRPr="00CA1BB8" w:rsidRDefault="00CE6011" w:rsidP="00CE6011">
      <w:pPr>
        <w:spacing w:after="0" w:line="360" w:lineRule="auto"/>
        <w:jc w:val="both"/>
        <w:rPr>
          <w:rFonts w:ascii="Arial" w:hAnsi="Arial" w:cs="Arial"/>
          <w:b/>
          <w:smallCaps/>
          <w:color w:val="000000" w:themeColor="text1"/>
        </w:rPr>
      </w:pPr>
      <w:r w:rsidRPr="00CA1BB8">
        <w:rPr>
          <w:rFonts w:ascii="Arial" w:hAnsi="Arial" w:cs="Arial"/>
          <w:b/>
          <w:smallCaps/>
          <w:color w:val="000000" w:themeColor="text1"/>
        </w:rPr>
        <w:t>capítulo iii instituciones autorizadas que deben expedir los títulos profesionales</w:t>
      </w:r>
    </w:p>
    <w:p w14:paraId="5D64C7D4" w14:textId="77777777" w:rsidR="00CE6011" w:rsidRPr="00CA1BB8" w:rsidRDefault="00CE6011" w:rsidP="00CE6011">
      <w:pPr>
        <w:spacing w:after="0" w:line="360" w:lineRule="auto"/>
        <w:jc w:val="both"/>
        <w:rPr>
          <w:rFonts w:ascii="Arial" w:hAnsi="Arial" w:cs="Arial"/>
          <w:b/>
          <w:smallCaps/>
          <w:color w:val="000000" w:themeColor="text1"/>
        </w:rPr>
      </w:pPr>
      <w:r w:rsidRPr="00CA1BB8">
        <w:rPr>
          <w:rFonts w:ascii="Arial" w:hAnsi="Arial" w:cs="Arial"/>
          <w:b/>
          <w:smallCaps/>
          <w:color w:val="000000" w:themeColor="text1"/>
        </w:rPr>
        <w:t xml:space="preserve">sección primera títulos expedidos </w:t>
      </w:r>
      <w:r>
        <w:rPr>
          <w:rFonts w:ascii="Arial" w:hAnsi="Arial" w:cs="Arial"/>
          <w:b/>
          <w:smallCaps/>
          <w:color w:val="000000" w:themeColor="text1"/>
        </w:rPr>
        <w:t>en la Ciudad de México</w:t>
      </w:r>
    </w:p>
    <w:p w14:paraId="7E52F83D" w14:textId="77777777" w:rsidR="00CE6011" w:rsidRPr="00CA1BB8" w:rsidRDefault="00CE6011" w:rsidP="00CE6011">
      <w:pPr>
        <w:spacing w:after="0" w:line="360" w:lineRule="auto"/>
        <w:jc w:val="both"/>
        <w:rPr>
          <w:rFonts w:ascii="Arial" w:hAnsi="Arial" w:cs="Arial"/>
          <w:color w:val="000000" w:themeColor="text1"/>
        </w:rPr>
      </w:pPr>
      <w:r w:rsidRPr="00CA1BB8">
        <w:rPr>
          <w:rFonts w:ascii="Arial" w:hAnsi="Arial" w:cs="Arial"/>
          <w:b/>
          <w:smallCaps/>
          <w:color w:val="000000" w:themeColor="text1"/>
        </w:rPr>
        <w:t>artículo 10.</w:t>
      </w:r>
      <w:r w:rsidRPr="00CA1BB8">
        <w:rPr>
          <w:rFonts w:ascii="Arial" w:hAnsi="Arial" w:cs="Arial"/>
          <w:b/>
          <w:color w:val="000000" w:themeColor="text1"/>
        </w:rPr>
        <w:t>-</w:t>
      </w:r>
      <w:r w:rsidRPr="00CA1BB8">
        <w:rPr>
          <w:rFonts w:ascii="Arial" w:hAnsi="Arial" w:cs="Arial"/>
          <w:color w:val="000000" w:themeColor="text1"/>
        </w:rPr>
        <w:t xml:space="preserve"> Las instituciones que impartan educación profesional deberán cumplir los requisitos que señalen las leyes y disposiciones reglamentarias que las rijan.</w:t>
      </w:r>
    </w:p>
    <w:p w14:paraId="500A2F66" w14:textId="77777777" w:rsidR="00CE6011" w:rsidRPr="00CA1BB8" w:rsidRDefault="00CE6011" w:rsidP="00CE6011">
      <w:pPr>
        <w:spacing w:after="0" w:line="360" w:lineRule="auto"/>
        <w:jc w:val="both"/>
        <w:rPr>
          <w:rFonts w:ascii="Arial" w:hAnsi="Arial" w:cs="Arial"/>
          <w:color w:val="000000" w:themeColor="text1"/>
        </w:rPr>
      </w:pPr>
      <w:r w:rsidRPr="00CA1BB8">
        <w:rPr>
          <w:rFonts w:ascii="Arial" w:hAnsi="Arial" w:cs="Arial"/>
          <w:b/>
          <w:smallCaps/>
          <w:color w:val="000000" w:themeColor="text1"/>
        </w:rPr>
        <w:lastRenderedPageBreak/>
        <w:t>Artículo 11.-</w:t>
      </w:r>
      <w:r w:rsidRPr="00CA1BB8">
        <w:rPr>
          <w:rFonts w:ascii="Arial" w:hAnsi="Arial" w:cs="Arial"/>
          <w:color w:val="000000" w:themeColor="text1"/>
        </w:rPr>
        <w:t xml:space="preserve"> Sólo las instituciones a que se refiere el artículo anterior están autorizadas para expedir títulos profesionales de acuerdo con sus respectivos ordenamientos.</w:t>
      </w:r>
    </w:p>
    <w:p w14:paraId="31C943FB" w14:textId="77777777" w:rsidR="00CE6011" w:rsidRDefault="00CE6011" w:rsidP="00CE6011">
      <w:pPr>
        <w:spacing w:after="0" w:line="360" w:lineRule="auto"/>
        <w:jc w:val="both"/>
        <w:rPr>
          <w:rFonts w:ascii="Arial" w:hAnsi="Arial" w:cs="Arial"/>
          <w:b/>
          <w:smallCaps/>
          <w:color w:val="000000" w:themeColor="text1"/>
        </w:rPr>
      </w:pPr>
    </w:p>
    <w:p w14:paraId="1141CB8E" w14:textId="77777777" w:rsidR="00CE6011" w:rsidRPr="00CA1BB8" w:rsidRDefault="00CE6011" w:rsidP="00CE6011">
      <w:pPr>
        <w:spacing w:after="0" w:line="360" w:lineRule="auto"/>
        <w:jc w:val="both"/>
        <w:rPr>
          <w:rFonts w:ascii="Arial" w:hAnsi="Arial" w:cs="Arial"/>
          <w:b/>
          <w:smallCaps/>
          <w:color w:val="000000" w:themeColor="text1"/>
        </w:rPr>
      </w:pPr>
      <w:r w:rsidRPr="00CA1BB8">
        <w:rPr>
          <w:rFonts w:ascii="Arial" w:hAnsi="Arial" w:cs="Arial"/>
          <w:b/>
          <w:smallCaps/>
          <w:color w:val="000000" w:themeColor="text1"/>
        </w:rPr>
        <w:t>capítulo v. del ejercicio profesional</w:t>
      </w:r>
    </w:p>
    <w:p w14:paraId="242AB21F" w14:textId="77777777" w:rsidR="00CE6011" w:rsidRPr="00CA1BB8" w:rsidRDefault="00CE6011" w:rsidP="00CE6011">
      <w:pPr>
        <w:spacing w:after="0" w:line="360" w:lineRule="auto"/>
        <w:jc w:val="both"/>
        <w:rPr>
          <w:rFonts w:ascii="Arial" w:hAnsi="Arial" w:cs="Arial"/>
          <w:color w:val="000000" w:themeColor="text1"/>
        </w:rPr>
      </w:pPr>
      <w:r w:rsidRPr="00CA1BB8">
        <w:rPr>
          <w:rFonts w:ascii="Arial" w:hAnsi="Arial" w:cs="Arial"/>
          <w:b/>
          <w:smallCaps/>
          <w:color w:val="000000" w:themeColor="text1"/>
        </w:rPr>
        <w:t>artículo 24.-</w:t>
      </w:r>
      <w:r w:rsidRPr="00CA1BB8">
        <w:rPr>
          <w:rFonts w:ascii="Arial" w:hAnsi="Arial" w:cs="Arial"/>
          <w:color w:val="000000" w:themeColor="text1"/>
        </w:rPr>
        <w:t xml:space="preserve"> Se entiende por ejercicio profesional, para efectos de esta ley, la realización habitual a título oneroso o gratuito de todo acto o la prestación de cualquier servicio propio de cada profesión, aunque sólo </w:t>
      </w:r>
      <w:r>
        <w:rPr>
          <w:rFonts w:ascii="Arial" w:hAnsi="Arial" w:cs="Arial"/>
          <w:color w:val="000000" w:themeColor="text1"/>
        </w:rPr>
        <w:t>s</w:t>
      </w:r>
      <w:r w:rsidRPr="00CA1BB8">
        <w:rPr>
          <w:rFonts w:ascii="Arial" w:hAnsi="Arial" w:cs="Arial"/>
          <w:color w:val="000000" w:themeColor="text1"/>
        </w:rPr>
        <w:t xml:space="preserve">e trate </w:t>
      </w:r>
      <w:r>
        <w:rPr>
          <w:rFonts w:ascii="Arial" w:hAnsi="Arial" w:cs="Arial"/>
          <w:color w:val="000000" w:themeColor="text1"/>
        </w:rPr>
        <w:t>d</w:t>
      </w:r>
      <w:r w:rsidRPr="00CA1BB8">
        <w:rPr>
          <w:rFonts w:ascii="Arial" w:hAnsi="Arial" w:cs="Arial"/>
          <w:color w:val="000000" w:themeColor="text1"/>
        </w:rPr>
        <w:t>e simple consulta o la ostentación del carácter del profesionista por medio de tarjetas, anuncios, placas, insignias o de cualquier otro modo. No se reputará ejercicio profesional cualquier acto realizado en los casos graves con propósito de auxilio inmediato.</w:t>
      </w:r>
    </w:p>
    <w:p w14:paraId="1C2C4D2F" w14:textId="77777777" w:rsidR="0019648E" w:rsidRDefault="0019648E" w:rsidP="00CE6011">
      <w:pPr>
        <w:spacing w:after="0" w:line="360" w:lineRule="auto"/>
        <w:jc w:val="both"/>
        <w:rPr>
          <w:rFonts w:ascii="Arial" w:hAnsi="Arial" w:cs="Arial"/>
          <w:color w:val="000000" w:themeColor="text1"/>
        </w:rPr>
      </w:pPr>
    </w:p>
    <w:p w14:paraId="29DAE317" w14:textId="77777777" w:rsidR="0019648E" w:rsidRDefault="0019648E" w:rsidP="00CE6011">
      <w:pPr>
        <w:spacing w:after="0" w:line="360" w:lineRule="auto"/>
        <w:jc w:val="both"/>
        <w:rPr>
          <w:rFonts w:ascii="Arial" w:hAnsi="Arial" w:cs="Arial"/>
          <w:b/>
          <w:smallCaps/>
          <w:color w:val="000000" w:themeColor="text1"/>
        </w:rPr>
      </w:pPr>
      <w:r w:rsidRPr="0019648E">
        <w:rPr>
          <w:rFonts w:ascii="Arial" w:hAnsi="Arial" w:cs="Arial"/>
          <w:b/>
          <w:color w:val="000000" w:themeColor="text1"/>
        </w:rPr>
        <w:t xml:space="preserve">3.3. </w:t>
      </w:r>
      <w:r w:rsidR="00CE6011" w:rsidRPr="005A238F">
        <w:rPr>
          <w:rFonts w:ascii="Arial" w:hAnsi="Arial" w:cs="Arial"/>
          <w:b/>
          <w:smallCaps/>
          <w:color w:val="000000" w:themeColor="text1"/>
        </w:rPr>
        <w:t>Ley General de Salud</w:t>
      </w:r>
      <w:r w:rsidR="00CE6011">
        <w:rPr>
          <w:rStyle w:val="Refdenotaalpie"/>
          <w:rFonts w:ascii="Arial" w:hAnsi="Arial"/>
          <w:b/>
          <w:smallCaps/>
          <w:color w:val="000000" w:themeColor="text1"/>
        </w:rPr>
        <w:footnoteReference w:id="73"/>
      </w:r>
    </w:p>
    <w:p w14:paraId="15001732" w14:textId="0D9A0A65" w:rsidR="00CE6011" w:rsidRPr="002406DE" w:rsidRDefault="00CE6011" w:rsidP="00CE6011">
      <w:pPr>
        <w:spacing w:after="0" w:line="360" w:lineRule="auto"/>
        <w:jc w:val="both"/>
        <w:rPr>
          <w:rFonts w:ascii="Arial" w:hAnsi="Arial" w:cs="Arial"/>
          <w:highlight w:val="lightGray"/>
        </w:rPr>
      </w:pPr>
      <w:r w:rsidRPr="005A238F">
        <w:rPr>
          <w:rFonts w:ascii="Arial" w:hAnsi="Arial" w:cs="Arial"/>
          <w:color w:val="000000" w:themeColor="text1"/>
        </w:rPr>
        <w:t xml:space="preserve">Capítulo Único del Título Primero, </w:t>
      </w:r>
      <w:r w:rsidRPr="00CA0725">
        <w:rPr>
          <w:rFonts w:ascii="Arial" w:hAnsi="Arial" w:cs="Arial"/>
          <w:b/>
          <w:color w:val="000000" w:themeColor="text1"/>
        </w:rPr>
        <w:t>Artículo 2°</w:t>
      </w:r>
      <w:r w:rsidRPr="005A238F">
        <w:rPr>
          <w:rFonts w:ascii="Arial" w:hAnsi="Arial" w:cs="Arial"/>
          <w:color w:val="000000" w:themeColor="text1"/>
        </w:rPr>
        <w:t xml:space="preserve">, Fracciones I, II ,III y IV,  que enuncia como finalidades la protección al bienestar físico y mental del hombre, para contribuir al ejercicio pleno de sus capacidades; la prolongación y el mejoramiento de la calidad de la vida humana; la protección y el acrecentamiento de los valores que coadyuven a la creación, conservación y disfrute de condiciones de salud que contribuyan al desarrollo social; y la extensión de actitudes solidarias y responsables de la población en la preservación, conservación, mejoramiento y restauración de la salud. </w:t>
      </w:r>
    </w:p>
    <w:p w14:paraId="3F869B07" w14:textId="77777777" w:rsidR="00CE6011" w:rsidRDefault="00CE6011" w:rsidP="00CE6011">
      <w:pPr>
        <w:spacing w:after="0" w:line="360" w:lineRule="auto"/>
        <w:jc w:val="both"/>
        <w:rPr>
          <w:rFonts w:ascii="Arial" w:hAnsi="Arial" w:cs="Arial"/>
        </w:rPr>
      </w:pPr>
      <w:r w:rsidRPr="00F25270">
        <w:rPr>
          <w:rFonts w:ascii="Arial" w:hAnsi="Arial" w:cs="Arial"/>
        </w:rPr>
        <w:t xml:space="preserve">En el Título Cuarto sobre Recursos Humanos para los Servicios de Salud, Capítulo I </w:t>
      </w:r>
      <w:r w:rsidRPr="00CA0725">
        <w:rPr>
          <w:rFonts w:ascii="Arial" w:hAnsi="Arial" w:cs="Arial"/>
          <w:b/>
        </w:rPr>
        <w:t>Artículo 81</w:t>
      </w:r>
      <w:r>
        <w:rPr>
          <w:rFonts w:ascii="Arial" w:hAnsi="Arial" w:cs="Arial"/>
        </w:rPr>
        <w:t xml:space="preserve"> dice: </w:t>
      </w:r>
      <w:r w:rsidRPr="009405D8">
        <w:rPr>
          <w:rFonts w:ascii="Arial" w:hAnsi="Arial" w:cs="Arial"/>
        </w:rPr>
        <w:t>La emisión de los diplomas de especialidades médicas corresponde a las instituciones de educación superior y de salud oficialmente reconocidas ante las autoridades correspondientes</w:t>
      </w:r>
      <w:r w:rsidR="00DB4EE3">
        <w:rPr>
          <w:rFonts w:ascii="Arial" w:hAnsi="Arial" w:cs="Arial"/>
        </w:rPr>
        <w:t>.</w:t>
      </w:r>
    </w:p>
    <w:p w14:paraId="29F6286C" w14:textId="77777777" w:rsidR="00CE6011" w:rsidRPr="009405D8" w:rsidRDefault="00CE6011" w:rsidP="00CE6011">
      <w:pPr>
        <w:spacing w:after="0" w:line="360" w:lineRule="auto"/>
        <w:jc w:val="both"/>
        <w:rPr>
          <w:rFonts w:ascii="Arial" w:hAnsi="Arial" w:cs="Arial"/>
        </w:rPr>
      </w:pPr>
      <w:r w:rsidRPr="009405D8">
        <w:rPr>
          <w:rFonts w:ascii="Arial" w:hAnsi="Arial" w:cs="Arial"/>
        </w:rPr>
        <w:t>Para la realización de los procedimientos médicos quirúrgicos de especialidad se requiere que el especialista haya sido entrenado para la realización de los mismos en instituciones de salud oficialmente reconocidas ante las autoridades correspondientes.</w:t>
      </w:r>
    </w:p>
    <w:p w14:paraId="637978A5" w14:textId="77777777" w:rsidR="00CE6011" w:rsidRPr="009405D8" w:rsidRDefault="00CE6011" w:rsidP="00CE6011">
      <w:pPr>
        <w:spacing w:after="0" w:line="360" w:lineRule="auto"/>
        <w:jc w:val="both"/>
        <w:rPr>
          <w:rFonts w:ascii="Arial" w:hAnsi="Arial" w:cs="Arial"/>
        </w:rPr>
      </w:pPr>
      <w:r w:rsidRPr="009405D8">
        <w:rPr>
          <w:rFonts w:ascii="Arial" w:hAnsi="Arial" w:cs="Arial"/>
        </w:rPr>
        <w:t>El Comité Normativo Nacional de Consejos de Especialidades Médicas tendrá la naturaleza de organismo auxiliar de la Administración Pública Federal a efecto de supervisar el entrenamiento, habilidades, destrezas y calificación de la pericia</w:t>
      </w:r>
      <w:r w:rsidRPr="00F25270">
        <w:rPr>
          <w:rFonts w:ascii="Arial" w:hAnsi="Arial" w:cs="Arial"/>
        </w:rPr>
        <w:t xml:space="preserve"> </w:t>
      </w:r>
      <w:r w:rsidRPr="009405D8">
        <w:rPr>
          <w:rFonts w:ascii="Arial" w:hAnsi="Arial" w:cs="Arial"/>
        </w:rPr>
        <w:t xml:space="preserve">que se requiere para la certificación y recertificación de la misma en las diferentes especialidades de la medicina </w:t>
      </w:r>
      <w:r w:rsidRPr="009405D8">
        <w:rPr>
          <w:rFonts w:ascii="Arial" w:hAnsi="Arial" w:cs="Arial"/>
        </w:rPr>
        <w:lastRenderedPageBreak/>
        <w:t>reconocidas por el Comité y en las instituciones de salud oficialmente reconocidas ante las autoridades correspondientes.</w:t>
      </w:r>
    </w:p>
    <w:p w14:paraId="461641BC" w14:textId="77777777" w:rsidR="00CE6011" w:rsidRPr="009405D8" w:rsidRDefault="00CE6011" w:rsidP="00CE6011">
      <w:pPr>
        <w:spacing w:after="0" w:line="360" w:lineRule="auto"/>
        <w:jc w:val="both"/>
        <w:rPr>
          <w:rFonts w:ascii="Arial" w:hAnsi="Arial" w:cs="Arial"/>
        </w:rPr>
      </w:pPr>
      <w:r w:rsidRPr="009405D8">
        <w:rPr>
          <w:rFonts w:ascii="Arial" w:hAnsi="Arial" w:cs="Arial"/>
        </w:rPr>
        <w:t>Los Consejos de Especialidades Médicas que tengan la declaratoria de idoneidad y que estén reconocidos por el Comité Normativo Nacional de Consejos de Especialidades Médicas, constituido por la Academia Nacional de Medicina de México, la Academia Mexicana de Cirugía y los Consejos de Especialidad miembros, están facultados para expedir certificados de su respectiva especialidad médica.</w:t>
      </w:r>
    </w:p>
    <w:p w14:paraId="5EE4A36F" w14:textId="77777777" w:rsidR="00CE6011" w:rsidRDefault="00CE6011" w:rsidP="00CE6011">
      <w:pPr>
        <w:spacing w:after="0" w:line="360" w:lineRule="auto"/>
        <w:jc w:val="both"/>
        <w:rPr>
          <w:rFonts w:ascii="Arial" w:hAnsi="Arial" w:cs="Arial"/>
        </w:rPr>
      </w:pPr>
      <w:r w:rsidRPr="009405D8">
        <w:rPr>
          <w:rFonts w:ascii="Arial" w:hAnsi="Arial" w:cs="Arial"/>
        </w:rPr>
        <w:t>Para la expedición de la cédula de médico especialista las autoridades educativas competentes solicitarán la opinión del Comité Normativo Nacional de Consejos de Especialidades Médicas</w:t>
      </w:r>
      <w:r>
        <w:rPr>
          <w:rStyle w:val="Refdenotaalpie"/>
          <w:rFonts w:ascii="Arial" w:hAnsi="Arial"/>
        </w:rPr>
        <w:footnoteReference w:id="74"/>
      </w:r>
      <w:r w:rsidRPr="009405D8">
        <w:rPr>
          <w:rFonts w:ascii="Arial" w:hAnsi="Arial" w:cs="Arial"/>
        </w:rPr>
        <w:t>.</w:t>
      </w:r>
    </w:p>
    <w:p w14:paraId="045EC6E0" w14:textId="77777777" w:rsidR="00CE6011" w:rsidRDefault="00CE6011" w:rsidP="00CE6011">
      <w:pPr>
        <w:spacing w:after="0" w:line="360" w:lineRule="auto"/>
        <w:jc w:val="both"/>
        <w:rPr>
          <w:rFonts w:ascii="Arial" w:hAnsi="Arial" w:cs="Arial"/>
        </w:rPr>
      </w:pPr>
      <w:r w:rsidRPr="00F25270">
        <w:rPr>
          <w:rFonts w:ascii="Arial" w:hAnsi="Arial" w:cs="Arial"/>
          <w:b/>
        </w:rPr>
        <w:t>Artículo 82.-</w:t>
      </w:r>
      <w:r w:rsidRPr="009405D8">
        <w:rPr>
          <w:rFonts w:ascii="Arial" w:hAnsi="Arial" w:cs="Arial"/>
        </w:rPr>
        <w:t xml:space="preserve"> Las autoridades educativas competentes proporcionarán a las autoridades sanitarias la relación de títulos, diplomas y certificados del área de la salud que hayan registrado y la de cédulas profesionales expedidas, así como la información complementaria sobre la materia que sea necesaria.</w:t>
      </w:r>
    </w:p>
    <w:p w14:paraId="430021EB" w14:textId="77777777" w:rsidR="00CE6011" w:rsidRPr="009405D8" w:rsidRDefault="00CE6011" w:rsidP="00CE6011">
      <w:pPr>
        <w:spacing w:after="0" w:line="360" w:lineRule="auto"/>
        <w:jc w:val="both"/>
        <w:rPr>
          <w:rFonts w:ascii="Arial" w:hAnsi="Arial" w:cs="Arial"/>
        </w:rPr>
      </w:pPr>
      <w:r w:rsidRPr="00F25270">
        <w:rPr>
          <w:rFonts w:ascii="Arial" w:hAnsi="Arial" w:cs="Arial"/>
          <w:b/>
        </w:rPr>
        <w:t>Artículo 83.</w:t>
      </w:r>
      <w:r w:rsidRPr="009405D8">
        <w:rPr>
          <w:rFonts w:ascii="Arial" w:hAnsi="Arial" w:cs="Arial"/>
        </w:rPr>
        <w:t>- Quienes ejerzan las actividades profesionales, técnicas y auxiliares y las especialidades médicas, deberán poner a la vista del público un anuncio que indique la institución que les expidió el Título, Diploma, número de su correspondiente cédula profesional y, en su caso, el Certificado de Especialidad vigente. Iguales menciones deberán consignarse en los documentos y papelería que utilicen en el ejercicio de tales actividades y en la publicidad que realicen al respecto.</w:t>
      </w:r>
      <w:r>
        <w:rPr>
          <w:rStyle w:val="Refdenotaalpie"/>
          <w:rFonts w:ascii="Arial" w:hAnsi="Arial"/>
        </w:rPr>
        <w:footnoteReference w:id="75"/>
      </w:r>
    </w:p>
    <w:p w14:paraId="77220417" w14:textId="77777777" w:rsidR="00CE6011" w:rsidRPr="001C0AB2" w:rsidRDefault="00CE6011" w:rsidP="00CE6011">
      <w:pPr>
        <w:spacing w:after="0" w:line="360" w:lineRule="auto"/>
        <w:jc w:val="both"/>
        <w:rPr>
          <w:rFonts w:ascii="Arial" w:hAnsi="Arial" w:cs="Arial"/>
        </w:rPr>
      </w:pPr>
      <w:r w:rsidRPr="001C0AB2">
        <w:rPr>
          <w:rFonts w:ascii="Arial" w:hAnsi="Arial" w:cs="Arial"/>
        </w:rPr>
        <w:t xml:space="preserve">Capítulo III referido a la Formación, Capacitación y Actualización del Personal, </w:t>
      </w:r>
      <w:r w:rsidRPr="001C0AB2">
        <w:rPr>
          <w:rFonts w:ascii="Arial" w:hAnsi="Arial" w:cs="Arial"/>
          <w:b/>
        </w:rPr>
        <w:t>Artículo 89</w:t>
      </w:r>
      <w:r w:rsidRPr="001C0AB2">
        <w:rPr>
          <w:rFonts w:ascii="Arial" w:hAnsi="Arial" w:cs="Arial"/>
        </w:rPr>
        <w:t xml:space="preserve">, donde se indica que las autoridades educativas, en coordinación con las autoridades sanitarias y con la participación de las instituciones de educación superior, recomendarán normas y criterios para la formación de recursos humanos para la salud. </w:t>
      </w:r>
    </w:p>
    <w:p w14:paraId="6F03F0BF" w14:textId="77777777" w:rsidR="00CE6011" w:rsidRDefault="00CE6011" w:rsidP="00CE6011">
      <w:pPr>
        <w:spacing w:after="0" w:line="360" w:lineRule="auto"/>
        <w:jc w:val="both"/>
        <w:rPr>
          <w:rFonts w:ascii="Arial" w:hAnsi="Arial" w:cs="Arial"/>
        </w:rPr>
      </w:pPr>
      <w:r w:rsidRPr="001C0AB2">
        <w:rPr>
          <w:rFonts w:ascii="Arial" w:hAnsi="Arial" w:cs="Arial"/>
        </w:rPr>
        <w:t>Las autoridades sanitarias, sin perjuicio de la competencia que sobre la materia corresponda a las autoridades educativas y en coordinación con ellas, así como con la participación de las instituciones de salud, establecerán las normas y criterios para la capacitación y actualización de los recursos humanos para la salud</w:t>
      </w:r>
      <w:r>
        <w:rPr>
          <w:rFonts w:ascii="Arial" w:hAnsi="Arial" w:cs="Arial"/>
        </w:rPr>
        <w:t>.</w:t>
      </w:r>
    </w:p>
    <w:p w14:paraId="0537BC1D" w14:textId="77777777" w:rsidR="00CE6011" w:rsidRPr="001C0AB2" w:rsidRDefault="00CE6011" w:rsidP="00CE6011">
      <w:pPr>
        <w:autoSpaceDE w:val="0"/>
        <w:autoSpaceDN w:val="0"/>
        <w:adjustRightInd w:val="0"/>
        <w:spacing w:after="0" w:line="360" w:lineRule="auto"/>
        <w:jc w:val="both"/>
        <w:rPr>
          <w:rFonts w:ascii="Arial" w:hAnsi="Arial" w:cs="Arial"/>
        </w:rPr>
      </w:pPr>
      <w:r w:rsidRPr="001C0AB2">
        <w:rPr>
          <w:rFonts w:ascii="Arial" w:hAnsi="Arial" w:cs="Arial"/>
          <w:b/>
        </w:rPr>
        <w:t>Artículo 91.</w:t>
      </w:r>
      <w:r w:rsidRPr="001C0AB2">
        <w:rPr>
          <w:rFonts w:ascii="Arial" w:hAnsi="Arial" w:cs="Arial"/>
        </w:rPr>
        <w:t xml:space="preserve"> La Secretaría de Salud y los gobiernos de las entidades federativas, en sus respectivos ámbitos de competencia, coadyuvarán con las autoridades e instituciones educativas, cuando éstas lo soliciten, en:</w:t>
      </w:r>
    </w:p>
    <w:p w14:paraId="4638473A" w14:textId="77777777" w:rsidR="00CE6011" w:rsidRPr="001C0AB2" w:rsidRDefault="00CE6011" w:rsidP="00CE6011">
      <w:pPr>
        <w:pStyle w:val="Prrafodelista"/>
        <w:numPr>
          <w:ilvl w:val="0"/>
          <w:numId w:val="3"/>
        </w:numPr>
        <w:autoSpaceDE w:val="0"/>
        <w:autoSpaceDN w:val="0"/>
        <w:adjustRightInd w:val="0"/>
        <w:spacing w:after="0" w:line="360" w:lineRule="auto"/>
        <w:ind w:left="284" w:hanging="284"/>
        <w:jc w:val="both"/>
        <w:rPr>
          <w:rFonts w:ascii="Arial" w:hAnsi="Arial" w:cs="Arial"/>
        </w:rPr>
      </w:pPr>
      <w:r w:rsidRPr="001C0AB2">
        <w:rPr>
          <w:rFonts w:ascii="Arial" w:hAnsi="Arial" w:cs="Arial"/>
        </w:rPr>
        <w:lastRenderedPageBreak/>
        <w:t>El señalamiento de los requisitos para la apertura y funcionamiento de instituciones dedicadas a la formación de recursos humanos para la salud, en los diferentes niveles académicos y técnicos, y</w:t>
      </w:r>
    </w:p>
    <w:p w14:paraId="781159BA" w14:textId="77777777" w:rsidR="00CE6011" w:rsidRPr="001C0AB2" w:rsidRDefault="00CE6011" w:rsidP="00CE6011">
      <w:pPr>
        <w:pStyle w:val="Prrafodelista"/>
        <w:numPr>
          <w:ilvl w:val="0"/>
          <w:numId w:val="3"/>
        </w:numPr>
        <w:autoSpaceDE w:val="0"/>
        <w:autoSpaceDN w:val="0"/>
        <w:adjustRightInd w:val="0"/>
        <w:spacing w:after="0" w:line="360" w:lineRule="auto"/>
        <w:ind w:left="284" w:hanging="284"/>
        <w:jc w:val="both"/>
        <w:rPr>
          <w:rFonts w:ascii="Arial" w:hAnsi="Arial" w:cs="Arial"/>
        </w:rPr>
      </w:pPr>
      <w:r w:rsidRPr="001C0AB2">
        <w:rPr>
          <w:rFonts w:ascii="Arial" w:hAnsi="Arial" w:cs="Arial"/>
        </w:rPr>
        <w:t>En la definición del perfil de los profesionales para la salud en sus etapas de formación.</w:t>
      </w:r>
    </w:p>
    <w:p w14:paraId="4CAC36B8" w14:textId="77777777" w:rsidR="00CE6011" w:rsidRPr="00F221E4" w:rsidRDefault="00CE6011" w:rsidP="00CE6011">
      <w:pPr>
        <w:autoSpaceDE w:val="0"/>
        <w:autoSpaceDN w:val="0"/>
        <w:adjustRightInd w:val="0"/>
        <w:spacing w:after="0" w:line="360" w:lineRule="auto"/>
        <w:jc w:val="both"/>
        <w:rPr>
          <w:rFonts w:ascii="Arial" w:hAnsi="Arial" w:cs="Arial"/>
        </w:rPr>
      </w:pPr>
      <w:r w:rsidRPr="00F221E4">
        <w:rPr>
          <w:rFonts w:ascii="Arial" w:hAnsi="Arial" w:cs="Arial"/>
          <w:b/>
        </w:rPr>
        <w:t>Artículo 92</w:t>
      </w:r>
      <w:r w:rsidRPr="00F221E4">
        <w:rPr>
          <w:rFonts w:ascii="Arial" w:hAnsi="Arial" w:cs="Arial"/>
        </w:rPr>
        <w:t>. Las Secretarías de Salud y de Educación Pública y los gobiernos de las entidades federativas, en sus respectivos ámbitos de competencia, impulsarán y fomentarán la formación, capacitación y actualización de los recursos humanos para los servicios de salud, de conformidad con los objetivos y prioridades del Sistema Nacional de Salud, de los sistemas estatales de salud y de los programas educativos</w:t>
      </w:r>
      <w:r w:rsidRPr="00F221E4">
        <w:rPr>
          <w:rStyle w:val="Refdenotaalpie"/>
          <w:rFonts w:ascii="Arial" w:hAnsi="Arial"/>
        </w:rPr>
        <w:footnoteReference w:id="76"/>
      </w:r>
      <w:r w:rsidRPr="00F221E4">
        <w:rPr>
          <w:rFonts w:ascii="Arial" w:hAnsi="Arial" w:cs="Arial"/>
        </w:rPr>
        <w:t>.</w:t>
      </w:r>
    </w:p>
    <w:p w14:paraId="05BC1E51" w14:textId="77777777" w:rsidR="00CE6011" w:rsidRDefault="00CE6011" w:rsidP="00CE6011">
      <w:pPr>
        <w:spacing w:after="0" w:line="360" w:lineRule="auto"/>
        <w:jc w:val="both"/>
        <w:rPr>
          <w:rFonts w:ascii="Arial" w:hAnsi="Arial" w:cs="Arial"/>
        </w:rPr>
      </w:pPr>
      <w:r w:rsidRPr="00F221E4">
        <w:rPr>
          <w:rFonts w:ascii="Arial" w:hAnsi="Arial" w:cs="Arial"/>
          <w:b/>
        </w:rPr>
        <w:t>Artículo 95.</w:t>
      </w:r>
      <w:r w:rsidRPr="009405D8">
        <w:rPr>
          <w:rFonts w:ascii="Arial" w:hAnsi="Arial" w:cs="Arial"/>
        </w:rPr>
        <w:t xml:space="preserve"> Los aspectos docentes del internado de pregrado y de las residencias de especialización, se regirán por lo que establezcan las instituciones de educación superior, de conformidad con las atribuciones que les otorguen las disposiciones que rigen su organización y funcionamiento y lo que determinen las autoridades educativas competentes.</w:t>
      </w:r>
    </w:p>
    <w:p w14:paraId="1CE3CB5D" w14:textId="77777777" w:rsidR="00CE6011" w:rsidRDefault="00CE6011" w:rsidP="00CE6011">
      <w:pPr>
        <w:spacing w:after="0" w:line="360" w:lineRule="auto"/>
        <w:jc w:val="both"/>
        <w:rPr>
          <w:rFonts w:ascii="Arial" w:hAnsi="Arial" w:cs="Arial"/>
        </w:rPr>
      </w:pPr>
      <w:r w:rsidRPr="00F25270">
        <w:rPr>
          <w:rFonts w:ascii="Arial" w:hAnsi="Arial" w:cs="Arial"/>
        </w:rPr>
        <w:t xml:space="preserve">En el Título </w:t>
      </w:r>
      <w:r>
        <w:rPr>
          <w:rFonts w:ascii="Arial" w:hAnsi="Arial" w:cs="Arial"/>
        </w:rPr>
        <w:t>Quin</w:t>
      </w:r>
      <w:r w:rsidRPr="00F25270">
        <w:rPr>
          <w:rFonts w:ascii="Arial" w:hAnsi="Arial" w:cs="Arial"/>
        </w:rPr>
        <w:t>to</w:t>
      </w:r>
      <w:r>
        <w:rPr>
          <w:rFonts w:ascii="Arial" w:hAnsi="Arial" w:cs="Arial"/>
        </w:rPr>
        <w:t>, Capítulo Único,</w:t>
      </w:r>
      <w:r w:rsidRPr="00F25270">
        <w:rPr>
          <w:rFonts w:ascii="Arial" w:hAnsi="Arial" w:cs="Arial"/>
        </w:rPr>
        <w:t xml:space="preserve"> </w:t>
      </w:r>
      <w:r>
        <w:rPr>
          <w:rFonts w:ascii="Arial" w:hAnsi="Arial" w:cs="Arial"/>
        </w:rPr>
        <w:t>relativo a la investigación para la</w:t>
      </w:r>
      <w:r w:rsidRPr="00F25270">
        <w:rPr>
          <w:rFonts w:ascii="Arial" w:hAnsi="Arial" w:cs="Arial"/>
        </w:rPr>
        <w:t xml:space="preserve"> Salud, Capítulo I </w:t>
      </w:r>
      <w:r w:rsidRPr="00CA0725">
        <w:rPr>
          <w:rFonts w:ascii="Arial" w:hAnsi="Arial" w:cs="Arial"/>
          <w:b/>
        </w:rPr>
        <w:t xml:space="preserve">Artículo </w:t>
      </w:r>
      <w:r>
        <w:rPr>
          <w:rFonts w:ascii="Arial" w:hAnsi="Arial" w:cs="Arial"/>
          <w:b/>
        </w:rPr>
        <w:t xml:space="preserve">96. </w:t>
      </w:r>
      <w:r w:rsidRPr="009405D8">
        <w:rPr>
          <w:rFonts w:ascii="Arial" w:hAnsi="Arial" w:cs="Arial"/>
        </w:rPr>
        <w:t>La investigación para la salud comprende el desarrollo de acciones que contribuyan:</w:t>
      </w:r>
    </w:p>
    <w:p w14:paraId="69FD82A1" w14:textId="77777777" w:rsidR="00CE6011" w:rsidRPr="009405D8" w:rsidRDefault="00CE6011" w:rsidP="00CE6011">
      <w:pPr>
        <w:spacing w:after="0" w:line="360" w:lineRule="auto"/>
        <w:rPr>
          <w:rFonts w:ascii="Arial" w:hAnsi="Arial" w:cs="Arial"/>
        </w:rPr>
      </w:pPr>
      <w:r w:rsidRPr="009405D8">
        <w:rPr>
          <w:rFonts w:ascii="Arial" w:hAnsi="Arial" w:cs="Arial"/>
        </w:rPr>
        <w:t>I. Al conocimiento de los procesos biológicos y psicológicos en los seres humanos;</w:t>
      </w:r>
    </w:p>
    <w:p w14:paraId="3D893E25" w14:textId="77777777" w:rsidR="00CE6011" w:rsidRPr="009405D8" w:rsidRDefault="00CE6011" w:rsidP="00CE6011">
      <w:pPr>
        <w:spacing w:after="0" w:line="360" w:lineRule="auto"/>
        <w:rPr>
          <w:rFonts w:ascii="Arial" w:hAnsi="Arial" w:cs="Arial"/>
        </w:rPr>
      </w:pPr>
      <w:r w:rsidRPr="009405D8">
        <w:rPr>
          <w:rFonts w:ascii="Arial" w:hAnsi="Arial" w:cs="Arial"/>
        </w:rPr>
        <w:t>II. Al conocimiento de los vínculos entre las causas de enfermedad, la práctica médica y la estructura social;</w:t>
      </w:r>
    </w:p>
    <w:p w14:paraId="5521DB3F" w14:textId="77777777" w:rsidR="00CE6011" w:rsidRPr="009405D8" w:rsidRDefault="00CE6011" w:rsidP="00CE6011">
      <w:pPr>
        <w:spacing w:after="0" w:line="360" w:lineRule="auto"/>
        <w:rPr>
          <w:rFonts w:ascii="Arial" w:hAnsi="Arial" w:cs="Arial"/>
        </w:rPr>
      </w:pPr>
      <w:r w:rsidRPr="009405D8">
        <w:rPr>
          <w:rFonts w:ascii="Arial" w:hAnsi="Arial" w:cs="Arial"/>
        </w:rPr>
        <w:t>III. A la prevención y control de los problemas de salud que se consideren prioritarios para la población;</w:t>
      </w:r>
    </w:p>
    <w:p w14:paraId="0EE4D682" w14:textId="77777777" w:rsidR="00CE6011" w:rsidRPr="009405D8" w:rsidRDefault="00CE6011" w:rsidP="00CE6011">
      <w:pPr>
        <w:spacing w:after="0" w:line="360" w:lineRule="auto"/>
        <w:rPr>
          <w:rFonts w:ascii="Arial" w:hAnsi="Arial" w:cs="Arial"/>
        </w:rPr>
      </w:pPr>
      <w:r w:rsidRPr="009405D8">
        <w:rPr>
          <w:rFonts w:ascii="Arial" w:hAnsi="Arial" w:cs="Arial"/>
        </w:rPr>
        <w:t>IV. Al conocimiento y control de los efectos nocivos del ambiente en la salud;</w:t>
      </w:r>
    </w:p>
    <w:p w14:paraId="7C05EBCD" w14:textId="77777777" w:rsidR="00CE6011" w:rsidRPr="009405D8" w:rsidRDefault="00CE6011" w:rsidP="00CE6011">
      <w:pPr>
        <w:spacing w:after="0" w:line="360" w:lineRule="auto"/>
        <w:rPr>
          <w:rFonts w:ascii="Arial" w:hAnsi="Arial" w:cs="Arial"/>
        </w:rPr>
      </w:pPr>
      <w:r w:rsidRPr="009405D8">
        <w:rPr>
          <w:rFonts w:ascii="Arial" w:hAnsi="Arial" w:cs="Arial"/>
        </w:rPr>
        <w:t>V. Al estudio de las técnicas y métodos que se recomienden o empleen para la prestación de servicios de salud, y</w:t>
      </w:r>
    </w:p>
    <w:p w14:paraId="0A34089E" w14:textId="77777777" w:rsidR="00CE6011" w:rsidRPr="009405D8" w:rsidRDefault="00CE6011" w:rsidP="00CE6011">
      <w:pPr>
        <w:spacing w:after="0" w:line="360" w:lineRule="auto"/>
        <w:rPr>
          <w:rFonts w:ascii="Arial" w:hAnsi="Arial" w:cs="Arial"/>
        </w:rPr>
      </w:pPr>
      <w:r w:rsidRPr="009405D8">
        <w:rPr>
          <w:rFonts w:ascii="Arial" w:hAnsi="Arial" w:cs="Arial"/>
        </w:rPr>
        <w:t>VI. A la producción nacional de insumos para la salud.</w:t>
      </w:r>
    </w:p>
    <w:p w14:paraId="093B53AB" w14:textId="53477776" w:rsidR="00CE6011" w:rsidRPr="00353730" w:rsidRDefault="00157C1D" w:rsidP="00CE6011">
      <w:pPr>
        <w:spacing w:after="0" w:line="360" w:lineRule="auto"/>
        <w:jc w:val="both"/>
        <w:rPr>
          <w:rFonts w:ascii="Arial" w:hAnsi="Arial" w:cs="Arial"/>
          <w:u w:val="single"/>
        </w:rPr>
      </w:pPr>
      <w:r>
        <w:rPr>
          <w:rFonts w:ascii="Arial" w:hAnsi="Arial" w:cs="Arial"/>
        </w:rPr>
        <w:t>Asimismo,</w:t>
      </w:r>
      <w:r w:rsidR="00CE6011">
        <w:rPr>
          <w:rFonts w:ascii="Arial" w:hAnsi="Arial" w:cs="Arial"/>
        </w:rPr>
        <w:t xml:space="preserve"> se atenderá lo dispuesto en el Reglamento de la Ley General de Salud en Materia de Investigación para la Salud, publicado en el Diario Oficial de la Federación el 23 de diciembre de 1986.</w:t>
      </w:r>
    </w:p>
    <w:p w14:paraId="4405786D" w14:textId="77777777" w:rsidR="00CE6011" w:rsidRDefault="00CE6011" w:rsidP="00CE6011">
      <w:pPr>
        <w:spacing w:after="0" w:line="360" w:lineRule="auto"/>
        <w:jc w:val="both"/>
        <w:rPr>
          <w:rFonts w:ascii="Arial" w:hAnsi="Arial" w:cs="Arial"/>
        </w:rPr>
      </w:pPr>
      <w:r w:rsidRPr="009405D8">
        <w:rPr>
          <w:rFonts w:ascii="Arial" w:hAnsi="Arial" w:cs="Arial"/>
        </w:rPr>
        <w:t>La operación de los programas correspondientes en los establecimientos de salud, se llevará a cabo de acuerdo a los lineamientos establecidos por cada una de las instituciones de salud y lo que determinen las autoridades sanitarias competentes.</w:t>
      </w:r>
    </w:p>
    <w:p w14:paraId="20E9B502" w14:textId="77777777" w:rsidR="00041E44" w:rsidRDefault="00041E44" w:rsidP="00CE6011">
      <w:pPr>
        <w:spacing w:after="0" w:line="360" w:lineRule="auto"/>
        <w:jc w:val="both"/>
        <w:rPr>
          <w:rFonts w:ascii="Arial" w:hAnsi="Arial" w:cs="Arial"/>
        </w:rPr>
      </w:pPr>
    </w:p>
    <w:p w14:paraId="768695EA" w14:textId="32D62842" w:rsidR="0019648E" w:rsidRPr="0019648E" w:rsidRDefault="0019648E" w:rsidP="00CE6011">
      <w:pPr>
        <w:spacing w:after="0" w:line="360" w:lineRule="auto"/>
        <w:jc w:val="both"/>
        <w:rPr>
          <w:rFonts w:ascii="Arial" w:hAnsi="Arial" w:cs="Arial"/>
          <w:b/>
          <w:smallCaps/>
        </w:rPr>
      </w:pPr>
      <w:r w:rsidRPr="0019648E">
        <w:rPr>
          <w:rFonts w:ascii="Arial" w:hAnsi="Arial" w:cs="Arial"/>
          <w:b/>
          <w:smallCaps/>
        </w:rPr>
        <w:t>3.4. Norma Oficial Mexicana</w:t>
      </w:r>
    </w:p>
    <w:p w14:paraId="40D1C52C" w14:textId="428DC8E7" w:rsidR="00CE6011" w:rsidRPr="003F04BE" w:rsidRDefault="00CE6011" w:rsidP="00CE6011">
      <w:pPr>
        <w:spacing w:after="0" w:line="360" w:lineRule="auto"/>
        <w:jc w:val="both"/>
        <w:rPr>
          <w:rFonts w:ascii="Arial" w:hAnsi="Arial" w:cs="Arial"/>
        </w:rPr>
      </w:pPr>
      <w:r>
        <w:rPr>
          <w:rFonts w:ascii="Arial" w:hAnsi="Arial" w:cs="Arial"/>
        </w:rPr>
        <w:t>La regulación para la operación, organización, funcionamiento y para la obtención de la Opinión Técnico Académica para el programa de</w:t>
      </w:r>
      <w:r w:rsidR="00041E44">
        <w:rPr>
          <w:rFonts w:ascii="Arial" w:hAnsi="Arial" w:cs="Arial"/>
        </w:rPr>
        <w:t xml:space="preserve"> especialidad médica en </w:t>
      </w:r>
      <w:r w:rsidR="00157C1D" w:rsidRPr="003F04BE">
        <w:rPr>
          <w:rFonts w:ascii="Arial" w:hAnsi="Arial" w:cs="Arial"/>
        </w:rPr>
        <w:t>Neonat</w:t>
      </w:r>
      <w:r w:rsidR="00041E44" w:rsidRPr="003F04BE">
        <w:rPr>
          <w:rFonts w:ascii="Arial" w:hAnsi="Arial" w:cs="Arial"/>
        </w:rPr>
        <w:t>ología, se describen en</w:t>
      </w:r>
      <w:r w:rsidRPr="003F04BE">
        <w:rPr>
          <w:rFonts w:ascii="Arial" w:hAnsi="Arial" w:cs="Arial"/>
        </w:rPr>
        <w:t xml:space="preserve"> las siguientes normas oficiales:</w:t>
      </w:r>
    </w:p>
    <w:p w14:paraId="4A8612B5" w14:textId="77777777" w:rsidR="00CE6011" w:rsidRPr="003F04BE" w:rsidRDefault="00CE6011" w:rsidP="00CE6011">
      <w:pPr>
        <w:autoSpaceDE w:val="0"/>
        <w:autoSpaceDN w:val="0"/>
        <w:adjustRightInd w:val="0"/>
        <w:spacing w:after="0" w:line="360" w:lineRule="auto"/>
        <w:jc w:val="both"/>
        <w:rPr>
          <w:rFonts w:ascii="Arial" w:hAnsi="Arial" w:cs="Arial"/>
        </w:rPr>
      </w:pPr>
      <w:r w:rsidRPr="003F04BE">
        <w:rPr>
          <w:rFonts w:ascii="Arial" w:hAnsi="Arial" w:cs="Arial"/>
        </w:rPr>
        <w:t xml:space="preserve">Norma Oficial Mexicana NOM-016-SSA3-2012, Que establece las </w:t>
      </w:r>
      <w:r w:rsidRPr="003F04BE">
        <w:rPr>
          <w:rFonts w:ascii="Arial" w:hAnsi="Arial" w:cs="Arial"/>
          <w:b/>
        </w:rPr>
        <w:t>características mínimas de infraestructura y equipamiento de hospitales y consultorios de atención médica especializada</w:t>
      </w:r>
      <w:r w:rsidRPr="003F04BE">
        <w:rPr>
          <w:rFonts w:ascii="Arial" w:hAnsi="Arial" w:cs="Arial"/>
        </w:rPr>
        <w:t>. Publicada el 8 de enero de 2013.</w:t>
      </w:r>
    </w:p>
    <w:p w14:paraId="14888EE9" w14:textId="79763B1F" w:rsidR="00EC4708" w:rsidRPr="003F04BE" w:rsidRDefault="00EC4708" w:rsidP="00CE6011">
      <w:pPr>
        <w:autoSpaceDE w:val="0"/>
        <w:autoSpaceDN w:val="0"/>
        <w:adjustRightInd w:val="0"/>
        <w:spacing w:after="0" w:line="360" w:lineRule="auto"/>
        <w:jc w:val="both"/>
        <w:rPr>
          <w:rFonts w:ascii="Arial" w:hAnsi="Arial" w:cs="Arial"/>
          <w:b/>
          <w:color w:val="FF0000"/>
        </w:rPr>
      </w:pPr>
      <w:r w:rsidRPr="003F04BE">
        <w:rPr>
          <w:rFonts w:ascii="Arial" w:hAnsi="Arial" w:cs="Arial"/>
        </w:rPr>
        <w:t xml:space="preserve">Norma Oficial Mexicana </w:t>
      </w:r>
      <w:r w:rsidR="00EF2F32" w:rsidRPr="003F04BE">
        <w:rPr>
          <w:rFonts w:ascii="Arial" w:hAnsi="Arial" w:cs="Arial"/>
          <w:bCs/>
          <w:lang w:eastAsia="es-MX"/>
        </w:rPr>
        <w:t>NOM-025-SSA3-2013, Para la organización y</w:t>
      </w:r>
      <w:r w:rsidR="00EF2F32" w:rsidRPr="00E02169">
        <w:rPr>
          <w:rFonts w:ascii="Arial" w:hAnsi="Arial" w:cs="Arial"/>
          <w:bCs/>
          <w:lang w:eastAsia="es-MX"/>
        </w:rPr>
        <w:t xml:space="preserve"> funcionamiento de las unidades de cuidados intensivos. </w:t>
      </w:r>
      <w:r w:rsidR="00EF2F32" w:rsidRPr="003F04BE">
        <w:rPr>
          <w:rFonts w:ascii="Arial" w:hAnsi="Arial" w:cs="Arial"/>
          <w:b/>
          <w:bCs/>
          <w:lang w:eastAsia="es-MX"/>
        </w:rPr>
        <w:t>Apéndice C (Normativo) Unidad de Cuidados Intensivos Neonatales</w:t>
      </w:r>
      <w:r w:rsidRPr="003F04BE">
        <w:rPr>
          <w:rFonts w:ascii="Arial" w:hAnsi="Arial" w:cs="Arial"/>
          <w:b/>
          <w:color w:val="FF0000"/>
        </w:rPr>
        <w:t>.</w:t>
      </w:r>
    </w:p>
    <w:p w14:paraId="55DF3C5D" w14:textId="4F6C313D" w:rsidR="00CE6011" w:rsidRPr="003F04BE" w:rsidRDefault="00CE6011" w:rsidP="00CE6011">
      <w:pPr>
        <w:autoSpaceDE w:val="0"/>
        <w:autoSpaceDN w:val="0"/>
        <w:adjustRightInd w:val="0"/>
        <w:spacing w:after="0" w:line="360" w:lineRule="auto"/>
        <w:jc w:val="both"/>
        <w:rPr>
          <w:rFonts w:ascii="Arial" w:hAnsi="Arial" w:cs="Arial"/>
        </w:rPr>
      </w:pPr>
      <w:r w:rsidRPr="003F04BE">
        <w:rPr>
          <w:rFonts w:ascii="Arial" w:hAnsi="Arial" w:cs="Arial"/>
          <w:shd w:val="clear" w:color="auto" w:fill="FFFFFF"/>
        </w:rPr>
        <w:t xml:space="preserve">Norma Oficial Mexicana NOM-168-SSA1-1998, </w:t>
      </w:r>
      <w:r w:rsidRPr="003F04BE">
        <w:rPr>
          <w:rFonts w:ascii="Arial" w:hAnsi="Arial" w:cs="Arial"/>
          <w:b/>
          <w:shd w:val="clear" w:color="auto" w:fill="FFFFFF"/>
        </w:rPr>
        <w:t>del expediente clínico</w:t>
      </w:r>
      <w:r w:rsidRPr="003F04BE">
        <w:rPr>
          <w:rFonts w:ascii="Arial" w:hAnsi="Arial" w:cs="Arial"/>
        </w:rPr>
        <w:t>. Publicada el 30 de s</w:t>
      </w:r>
      <w:r w:rsidR="00EF2F32" w:rsidRPr="003F04BE">
        <w:rPr>
          <w:rFonts w:ascii="Arial" w:hAnsi="Arial" w:cs="Arial"/>
        </w:rPr>
        <w:t xml:space="preserve">eptiembre de 1999 y modificada </w:t>
      </w:r>
      <w:r w:rsidRPr="003F04BE">
        <w:rPr>
          <w:rFonts w:ascii="Arial" w:hAnsi="Arial" w:cs="Arial"/>
        </w:rPr>
        <w:t>el 22 de agosto de 2003.</w:t>
      </w:r>
    </w:p>
    <w:p w14:paraId="6BF1DC2F" w14:textId="31955ED2" w:rsidR="00CE6011" w:rsidRPr="003F04BE" w:rsidRDefault="00CE6011" w:rsidP="00EF2F32">
      <w:pPr>
        <w:autoSpaceDE w:val="0"/>
        <w:autoSpaceDN w:val="0"/>
        <w:adjustRightInd w:val="0"/>
        <w:spacing w:after="0" w:line="360" w:lineRule="auto"/>
        <w:jc w:val="both"/>
        <w:rPr>
          <w:rFonts w:ascii="Arial" w:hAnsi="Arial" w:cs="Arial"/>
        </w:rPr>
      </w:pPr>
      <w:r w:rsidRPr="003F04BE">
        <w:rPr>
          <w:rFonts w:ascii="Arial" w:hAnsi="Arial" w:cs="Arial"/>
          <w:bCs/>
        </w:rPr>
        <w:t xml:space="preserve">NORMA Oficial Mexicana NOM-001-SSA3-2012, Educación en salud. </w:t>
      </w:r>
      <w:r w:rsidRPr="003F04BE">
        <w:rPr>
          <w:rFonts w:ascii="Arial" w:hAnsi="Arial" w:cs="Arial"/>
          <w:b/>
          <w:bCs/>
        </w:rPr>
        <w:t>Para la organización y funcionamiento de residencias médicas</w:t>
      </w:r>
      <w:r w:rsidRPr="003F04BE">
        <w:rPr>
          <w:rFonts w:ascii="Arial" w:hAnsi="Arial" w:cs="Arial"/>
          <w:bCs/>
        </w:rPr>
        <w:t xml:space="preserve">. Publicada el </w:t>
      </w:r>
      <w:r w:rsidRPr="003F04BE">
        <w:rPr>
          <w:rFonts w:ascii="Arial" w:hAnsi="Arial" w:cs="Arial"/>
        </w:rPr>
        <w:t>4 de enero de 2013.</w:t>
      </w:r>
    </w:p>
    <w:p w14:paraId="3898EE96" w14:textId="77777777" w:rsidR="00041E44" w:rsidRDefault="00041E44" w:rsidP="00CE6011">
      <w:pPr>
        <w:autoSpaceDE w:val="0"/>
        <w:autoSpaceDN w:val="0"/>
        <w:adjustRightInd w:val="0"/>
        <w:spacing w:after="0" w:line="360" w:lineRule="auto"/>
        <w:jc w:val="both"/>
        <w:rPr>
          <w:rFonts w:ascii="Arial" w:hAnsi="Arial" w:cs="Arial"/>
          <w:b/>
          <w:bCs/>
        </w:rPr>
      </w:pPr>
    </w:p>
    <w:p w14:paraId="05AE78F2" w14:textId="2B443A6E" w:rsidR="0019648E" w:rsidRDefault="0019648E" w:rsidP="00CE6011">
      <w:pPr>
        <w:autoSpaceDE w:val="0"/>
        <w:autoSpaceDN w:val="0"/>
        <w:adjustRightInd w:val="0"/>
        <w:spacing w:after="0" w:line="360" w:lineRule="auto"/>
        <w:jc w:val="both"/>
        <w:rPr>
          <w:rFonts w:ascii="Arial" w:hAnsi="Arial" w:cs="Arial"/>
          <w:b/>
          <w:bCs/>
        </w:rPr>
      </w:pPr>
      <w:r>
        <w:rPr>
          <w:rFonts w:ascii="Arial" w:hAnsi="Arial" w:cs="Arial"/>
          <w:b/>
          <w:bCs/>
        </w:rPr>
        <w:t xml:space="preserve">3.5. </w:t>
      </w:r>
      <w:r w:rsidR="00CE6011" w:rsidRPr="00B32696">
        <w:rPr>
          <w:rFonts w:ascii="Arial" w:hAnsi="Arial" w:cs="Arial"/>
          <w:b/>
          <w:bCs/>
        </w:rPr>
        <w:t>L</w:t>
      </w:r>
      <w:r w:rsidRPr="0019648E">
        <w:rPr>
          <w:rFonts w:ascii="Arial" w:hAnsi="Arial" w:cs="Arial"/>
          <w:b/>
          <w:bCs/>
          <w:smallCaps/>
        </w:rPr>
        <w:t>ineamientos CIFRHS</w:t>
      </w:r>
    </w:p>
    <w:p w14:paraId="5E05BF8A" w14:textId="5AE0119E" w:rsidR="00CE6011" w:rsidRPr="00F24A2A" w:rsidRDefault="0019648E" w:rsidP="00CE6011">
      <w:pPr>
        <w:autoSpaceDE w:val="0"/>
        <w:autoSpaceDN w:val="0"/>
        <w:adjustRightInd w:val="0"/>
        <w:spacing w:after="0" w:line="360" w:lineRule="auto"/>
        <w:jc w:val="both"/>
        <w:rPr>
          <w:rFonts w:ascii="Arial" w:hAnsi="Arial" w:cs="Arial"/>
        </w:rPr>
      </w:pPr>
      <w:r>
        <w:rPr>
          <w:rFonts w:ascii="Arial" w:hAnsi="Arial" w:cs="Arial"/>
          <w:bCs/>
        </w:rPr>
        <w:t>P</w:t>
      </w:r>
      <w:r w:rsidR="00CE6011" w:rsidRPr="00F24A2A">
        <w:rPr>
          <w:rFonts w:ascii="Arial" w:hAnsi="Arial" w:cs="Arial"/>
          <w:bCs/>
        </w:rPr>
        <w:t>ara obtener la opinión técnico académica de la Comisión Interinstitucional para la Formación de Recursos</w:t>
      </w:r>
      <w:r w:rsidR="00CE6011">
        <w:rPr>
          <w:rFonts w:ascii="Arial" w:hAnsi="Arial" w:cs="Arial"/>
          <w:bCs/>
        </w:rPr>
        <w:t xml:space="preserve"> </w:t>
      </w:r>
      <w:r w:rsidR="00CE6011" w:rsidRPr="00F24A2A">
        <w:rPr>
          <w:rFonts w:ascii="Arial" w:hAnsi="Arial" w:cs="Arial"/>
          <w:bCs/>
        </w:rPr>
        <w:t>Humanos para la Salud, respecto de la apertura y funcionamiento de Instituciones Particulares de Educación Superior dedicadas a la</w:t>
      </w:r>
      <w:r w:rsidR="00CE6011">
        <w:rPr>
          <w:rFonts w:ascii="Arial" w:hAnsi="Arial" w:cs="Arial"/>
          <w:bCs/>
        </w:rPr>
        <w:t xml:space="preserve"> </w:t>
      </w:r>
      <w:r w:rsidR="00CE6011" w:rsidRPr="00F24A2A">
        <w:rPr>
          <w:rFonts w:ascii="Arial" w:hAnsi="Arial" w:cs="Arial"/>
          <w:bCs/>
        </w:rPr>
        <w:t>formación de Recursos Humanos para la Salud.</w:t>
      </w:r>
      <w:r w:rsidR="00CE6011">
        <w:rPr>
          <w:rFonts w:ascii="Arial" w:hAnsi="Arial" w:cs="Arial"/>
          <w:bCs/>
        </w:rPr>
        <w:t xml:space="preserve"> Publicada el 14 de agosto de 2018.</w:t>
      </w:r>
    </w:p>
    <w:p w14:paraId="1D92032D" w14:textId="77777777" w:rsidR="00CE6011" w:rsidRPr="00005864" w:rsidRDefault="00CE6011" w:rsidP="00CE6011">
      <w:pPr>
        <w:autoSpaceDE w:val="0"/>
        <w:autoSpaceDN w:val="0"/>
        <w:adjustRightInd w:val="0"/>
        <w:spacing w:after="0" w:line="360" w:lineRule="auto"/>
        <w:jc w:val="both"/>
        <w:rPr>
          <w:rFonts w:ascii="Arial" w:hAnsi="Arial" w:cs="Arial"/>
        </w:rPr>
      </w:pPr>
      <w:r w:rsidRPr="00005864">
        <w:rPr>
          <w:rFonts w:ascii="Arial" w:hAnsi="Arial" w:cs="Arial"/>
        </w:rPr>
        <w:t>Reglamento de la Ley General de Salud en materia de investigación para la salud.</w:t>
      </w:r>
    </w:p>
    <w:p w14:paraId="599A316D" w14:textId="25C06218" w:rsidR="0019648E" w:rsidRDefault="00CE6011" w:rsidP="0071010C">
      <w:pPr>
        <w:spacing w:line="360" w:lineRule="auto"/>
        <w:jc w:val="both"/>
        <w:rPr>
          <w:rFonts w:ascii="Arial" w:hAnsi="Arial" w:cs="Arial"/>
        </w:rPr>
      </w:pPr>
      <w:r w:rsidRPr="00CE6011">
        <w:rPr>
          <w:rFonts w:ascii="Arial" w:hAnsi="Arial" w:cs="Arial"/>
        </w:rPr>
        <w:t xml:space="preserve"> </w:t>
      </w:r>
    </w:p>
    <w:p w14:paraId="177E7A11" w14:textId="06397165" w:rsidR="00954059" w:rsidRPr="009343CB" w:rsidRDefault="006046FB" w:rsidP="00954059">
      <w:pPr>
        <w:spacing w:after="120" w:line="360" w:lineRule="auto"/>
        <w:ind w:right="-79"/>
        <w:jc w:val="both"/>
        <w:rPr>
          <w:rFonts w:ascii="Arial" w:hAnsi="Arial" w:cs="Arial"/>
          <w:b/>
        </w:rPr>
      </w:pPr>
      <w:r>
        <w:rPr>
          <w:rFonts w:ascii="Arial" w:hAnsi="Arial" w:cs="Arial"/>
          <w:b/>
        </w:rPr>
        <w:t>IV</w:t>
      </w:r>
      <w:r w:rsidR="005B44CA">
        <w:rPr>
          <w:rFonts w:ascii="Arial" w:hAnsi="Arial" w:cs="Arial"/>
          <w:b/>
        </w:rPr>
        <w:t xml:space="preserve">. </w:t>
      </w:r>
      <w:r w:rsidR="00954059" w:rsidRPr="009343CB">
        <w:rPr>
          <w:rFonts w:ascii="Arial" w:hAnsi="Arial" w:cs="Arial"/>
          <w:b/>
        </w:rPr>
        <w:t>DEMANDA EDUCATIVA</w:t>
      </w:r>
      <w:r w:rsidR="00396BFB">
        <w:rPr>
          <w:rFonts w:ascii="Arial" w:hAnsi="Arial" w:cs="Arial"/>
          <w:b/>
        </w:rPr>
        <w:t xml:space="preserve"> NEONAT</w:t>
      </w:r>
      <w:r w:rsidR="00D62550">
        <w:rPr>
          <w:rFonts w:ascii="Arial" w:hAnsi="Arial" w:cs="Arial"/>
          <w:b/>
        </w:rPr>
        <w:t>OLOGÍ</w:t>
      </w:r>
      <w:r w:rsidR="00954059">
        <w:rPr>
          <w:rFonts w:ascii="Arial" w:hAnsi="Arial" w:cs="Arial"/>
          <w:b/>
        </w:rPr>
        <w:t>A</w:t>
      </w:r>
    </w:p>
    <w:p w14:paraId="6A1D8BF4" w14:textId="77777777" w:rsidR="00954059" w:rsidRDefault="00954059" w:rsidP="00954059">
      <w:pPr>
        <w:spacing w:line="360" w:lineRule="auto"/>
        <w:jc w:val="both"/>
        <w:rPr>
          <w:rFonts w:ascii="Arial" w:hAnsi="Arial" w:cs="Arial"/>
          <w:lang w:eastAsia="es-MX"/>
        </w:rPr>
      </w:pPr>
      <w:r>
        <w:rPr>
          <w:rFonts w:ascii="Arial" w:hAnsi="Arial" w:cs="Arial"/>
          <w:lang w:eastAsia="es-MX"/>
        </w:rPr>
        <w:t>La elección de una especialidad médica es una decisión mayor para los médicos y una fase que definirá en gran parte sus vidas profesionales</w:t>
      </w:r>
      <w:r>
        <w:rPr>
          <w:rStyle w:val="Refdenotaalpie"/>
          <w:rFonts w:ascii="Arial" w:hAnsi="Arial" w:cs="Arial"/>
          <w:lang w:eastAsia="es-MX"/>
        </w:rPr>
        <w:footnoteReference w:id="77"/>
      </w:r>
      <w:r>
        <w:rPr>
          <w:rFonts w:ascii="Arial" w:hAnsi="Arial" w:cs="Arial"/>
          <w:lang w:eastAsia="es-MX"/>
        </w:rPr>
        <w:t xml:space="preserve">; en algunos casos, la elección de la especialidad es un proceso que se inicia desde antes de ingresar a la licenciatura de medicina, se modifica a través de los años de estancia en el programa y, finalmente, termina </w:t>
      </w:r>
      <w:r>
        <w:rPr>
          <w:rFonts w:ascii="Arial" w:hAnsi="Arial" w:cs="Arial"/>
          <w:lang w:eastAsia="es-MX"/>
        </w:rPr>
        <w:lastRenderedPageBreak/>
        <w:t>cuando la especialidad es elegida</w:t>
      </w:r>
      <w:r>
        <w:rPr>
          <w:rStyle w:val="Refdenotaalpie"/>
          <w:rFonts w:ascii="Arial" w:hAnsi="Arial" w:cs="Arial"/>
          <w:lang w:eastAsia="es-MX"/>
        </w:rPr>
        <w:footnoteReference w:id="78"/>
      </w:r>
      <w:r>
        <w:rPr>
          <w:rFonts w:ascii="Arial" w:hAnsi="Arial" w:cs="Arial"/>
          <w:lang w:eastAsia="es-MX"/>
        </w:rPr>
        <w:t>. No obstante, las preferencias iniciales de los médicos para estudios de especialidad no necesariamente se alinean con la demanda de la fuerza de trabajo y con la disponibilidad de las vacantes de residencia; además, como es el caso de México, no se hace un análisis conjunto de necesidades nacionales y regionales en salud, lo cual ha llevado a un déficit de médicos especialistas para servicios que son críticos en la atención básica y, a su vez, ha propiciado una prestación de servicios sin oportunidad ni calidad en todos los casos</w:t>
      </w:r>
      <w:r>
        <w:rPr>
          <w:rStyle w:val="Refdenotaalpie"/>
          <w:rFonts w:ascii="Arial" w:hAnsi="Arial" w:cs="Arial"/>
          <w:lang w:eastAsia="es-MX"/>
        </w:rPr>
        <w:footnoteReference w:id="79"/>
      </w:r>
      <w:r>
        <w:rPr>
          <w:rFonts w:ascii="Arial" w:hAnsi="Arial" w:cs="Arial"/>
          <w:lang w:eastAsia="es-MX"/>
        </w:rPr>
        <w:t xml:space="preserve">. </w:t>
      </w:r>
    </w:p>
    <w:p w14:paraId="0A8F0F2C" w14:textId="200FBD4C" w:rsidR="00954059" w:rsidRDefault="00954059" w:rsidP="00954059">
      <w:pPr>
        <w:spacing w:line="360" w:lineRule="auto"/>
        <w:jc w:val="both"/>
        <w:rPr>
          <w:rFonts w:ascii="Arial" w:hAnsi="Arial" w:cs="Arial"/>
          <w:lang w:eastAsia="es-MX"/>
        </w:rPr>
      </w:pPr>
      <w:r>
        <w:rPr>
          <w:rFonts w:ascii="Arial" w:hAnsi="Arial" w:cs="Arial"/>
          <w:lang w:eastAsia="es-MX"/>
        </w:rPr>
        <w:t>En la elección y, por lo tanto, en la demanda de una especialidad médica –aunado a el evidente interés personal y profesional por ella– está determinado por múltiples factores, tales como: percepciones de la especiali</w:t>
      </w:r>
      <w:r w:rsidRPr="00172518">
        <w:rPr>
          <w:rFonts w:ascii="Arial" w:hAnsi="Arial" w:cs="Arial"/>
          <w:lang w:eastAsia="es-MX"/>
        </w:rPr>
        <w:t>dad, experiencias curriculares y extracurriculares,</w:t>
      </w:r>
      <w:r>
        <w:rPr>
          <w:rFonts w:ascii="Arial" w:hAnsi="Arial" w:cs="Arial"/>
          <w:lang w:eastAsia="es-MX"/>
        </w:rPr>
        <w:t xml:space="preserve"> </w:t>
      </w:r>
      <w:r w:rsidRPr="00172518">
        <w:rPr>
          <w:rFonts w:ascii="Arial" w:hAnsi="Arial" w:cs="Arial"/>
          <w:lang w:eastAsia="es-MX"/>
        </w:rPr>
        <w:t>necesidades individuales a futuro (opciones de carrera,</w:t>
      </w:r>
      <w:r>
        <w:rPr>
          <w:rFonts w:ascii="Arial" w:hAnsi="Arial" w:cs="Arial"/>
          <w:lang w:eastAsia="es-MX"/>
        </w:rPr>
        <w:t xml:space="preserve"> </w:t>
      </w:r>
      <w:r w:rsidRPr="00172518">
        <w:rPr>
          <w:rFonts w:ascii="Arial" w:hAnsi="Arial" w:cs="Arial"/>
          <w:lang w:eastAsia="es-MX"/>
        </w:rPr>
        <w:t>expectativas</w:t>
      </w:r>
      <w:r>
        <w:rPr>
          <w:rFonts w:ascii="Arial" w:hAnsi="Arial" w:cs="Arial"/>
          <w:lang w:eastAsia="es-MX"/>
        </w:rPr>
        <w:t xml:space="preserve"> salariales, estilo de vida, carga</w:t>
      </w:r>
      <w:r w:rsidRPr="00172518">
        <w:rPr>
          <w:rFonts w:ascii="Arial" w:hAnsi="Arial" w:cs="Arial"/>
          <w:lang w:eastAsia="es-MX"/>
        </w:rPr>
        <w:t xml:space="preserve"> de trabajo) y</w:t>
      </w:r>
      <w:r>
        <w:rPr>
          <w:rFonts w:ascii="Arial" w:hAnsi="Arial" w:cs="Arial"/>
          <w:lang w:eastAsia="es-MX"/>
        </w:rPr>
        <w:t xml:space="preserve"> género</w:t>
      </w:r>
      <w:r w:rsidRPr="00172518">
        <w:rPr>
          <w:rFonts w:ascii="Arial" w:hAnsi="Arial" w:cs="Arial"/>
          <w:lang w:eastAsia="es-MX"/>
        </w:rPr>
        <w:t>.</w:t>
      </w:r>
      <w:r>
        <w:rPr>
          <w:rFonts w:ascii="Arial" w:hAnsi="Arial" w:cs="Arial"/>
          <w:lang w:eastAsia="es-MX"/>
        </w:rPr>
        <w:t xml:space="preserve"> Sin embargo, la toma de decisión –y la demanda– sobre una especialidad médica es un proceso complejo, dinámico y multifactorial. Al respecto, se han propuesto diversos modelos teóricos para resumir estos procesos de elección y demanda de especialidades médicas; específicamente, el modelo propuesto por Bland y Meurer es una de las principales referencias, ya que sugiere que la elección de las especialidades médicas surge a partir de la combinación entre percepciones sobre las características de la especialidad y necesidades personales y sociales</w:t>
      </w:r>
      <w:r>
        <w:rPr>
          <w:rStyle w:val="Refdenotaalpie"/>
          <w:rFonts w:ascii="Arial" w:hAnsi="Arial" w:cs="Arial"/>
          <w:lang w:eastAsia="es-MX"/>
        </w:rPr>
        <w:footnoteReference w:id="80"/>
      </w:r>
      <w:r>
        <w:rPr>
          <w:rFonts w:ascii="Arial" w:hAnsi="Arial" w:cs="Arial"/>
          <w:lang w:eastAsia="es-MX"/>
        </w:rPr>
        <w:t>. Asimismo, el modelo propone que las percepciones y necesidades son mediadas por la facultad, las características y valores del estudiante</w:t>
      </w:r>
      <w:r>
        <w:rPr>
          <w:rStyle w:val="Refdenotaalpie"/>
          <w:rFonts w:ascii="Arial" w:hAnsi="Arial" w:cs="Arial"/>
          <w:lang w:eastAsia="es-MX"/>
        </w:rPr>
        <w:footnoteReference w:id="81"/>
      </w:r>
      <w:r>
        <w:rPr>
          <w:rFonts w:ascii="Arial" w:hAnsi="Arial" w:cs="Arial"/>
          <w:lang w:eastAsia="es-MX"/>
        </w:rPr>
        <w:t xml:space="preserve">. Este modelo es retomado por Querido </w:t>
      </w:r>
      <w:r w:rsidR="00063D0E">
        <w:rPr>
          <w:rFonts w:ascii="Arial" w:hAnsi="Arial" w:cs="Arial"/>
          <w:i/>
          <w:lang w:eastAsia="es-MX"/>
        </w:rPr>
        <w:t>et</w:t>
      </w:r>
      <w:r w:rsidRPr="000D6ACB">
        <w:rPr>
          <w:rFonts w:ascii="Arial" w:hAnsi="Arial" w:cs="Arial"/>
          <w:i/>
          <w:lang w:eastAsia="es-MX"/>
        </w:rPr>
        <w:t xml:space="preserve"> al.</w:t>
      </w:r>
      <w:r>
        <w:rPr>
          <w:rFonts w:ascii="Arial" w:hAnsi="Arial" w:cs="Arial"/>
          <w:lang w:eastAsia="es-MX"/>
        </w:rPr>
        <w:t>, quienes hacen énfasis en que el tipo de escuela es diferente en cada país; la Figura 1 resume dicho modelo y se configura al contexto de México, donde la educación médica se caracteriza por ingresas a la licenciatura una vez terminado los estudios de bachillerato, para después acceder a la especialidad médica.</w:t>
      </w:r>
    </w:p>
    <w:p w14:paraId="2D45C44E" w14:textId="49507019" w:rsidR="00954059" w:rsidRDefault="00954059" w:rsidP="00954059">
      <w:pPr>
        <w:spacing w:line="360" w:lineRule="auto"/>
        <w:jc w:val="center"/>
        <w:rPr>
          <w:rFonts w:ascii="Arial" w:hAnsi="Arial" w:cs="Arial"/>
          <w:lang w:eastAsia="es-MX"/>
        </w:rPr>
      </w:pPr>
      <w:r w:rsidRPr="002C0B41">
        <w:rPr>
          <w:rFonts w:ascii="Arial" w:hAnsi="Arial" w:cs="Arial"/>
          <w:b/>
          <w:lang w:eastAsia="es-MX"/>
        </w:rPr>
        <w:lastRenderedPageBreak/>
        <w:t xml:space="preserve">Figura 1. Modelo de Bland-Meurer (modificaciones de Querido </w:t>
      </w:r>
      <w:r w:rsidR="00063D0E">
        <w:rPr>
          <w:rFonts w:ascii="Arial" w:hAnsi="Arial" w:cs="Arial"/>
          <w:b/>
          <w:i/>
          <w:lang w:eastAsia="es-MX"/>
        </w:rPr>
        <w:t>et</w:t>
      </w:r>
      <w:r w:rsidRPr="002C0B41">
        <w:rPr>
          <w:rFonts w:ascii="Arial" w:hAnsi="Arial" w:cs="Arial"/>
          <w:b/>
          <w:i/>
          <w:lang w:eastAsia="es-MX"/>
        </w:rPr>
        <w:t xml:space="preserve"> al.</w:t>
      </w:r>
      <w:r w:rsidRPr="002C0B41">
        <w:rPr>
          <w:rFonts w:ascii="Arial" w:hAnsi="Arial" w:cs="Arial"/>
          <w:b/>
          <w:lang w:eastAsia="es-MX"/>
        </w:rPr>
        <w:t>) sobe los factores relacionados con la elección de una especialidad.</w:t>
      </w:r>
      <w:r>
        <w:rPr>
          <w:noProof/>
          <w:lang w:eastAsia="es-MX"/>
        </w:rPr>
        <w:drawing>
          <wp:inline distT="0" distB="0" distL="0" distR="0" wp14:anchorId="5D446D89" wp14:editId="252B1655">
            <wp:extent cx="4457700" cy="5105400"/>
            <wp:effectExtent l="19050" t="19050" r="19050" b="1905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457700" cy="5105400"/>
                    </a:xfrm>
                    <a:prstGeom prst="rect">
                      <a:avLst/>
                    </a:prstGeom>
                    <a:ln>
                      <a:solidFill>
                        <a:schemeClr val="tx1"/>
                      </a:solidFill>
                    </a:ln>
                  </pic:spPr>
                </pic:pic>
              </a:graphicData>
            </a:graphic>
          </wp:inline>
        </w:drawing>
      </w:r>
    </w:p>
    <w:p w14:paraId="6888BC73" w14:textId="5ACDD051" w:rsidR="00954059" w:rsidRDefault="003F04BE" w:rsidP="00954059">
      <w:pPr>
        <w:spacing w:after="0" w:line="360" w:lineRule="auto"/>
        <w:ind w:left="708" w:firstLine="708"/>
        <w:jc w:val="both"/>
        <w:rPr>
          <w:rFonts w:ascii="Arial" w:hAnsi="Arial" w:cs="Arial"/>
          <w:lang w:eastAsia="es-MX"/>
        </w:rPr>
      </w:pPr>
      <w:r>
        <w:rPr>
          <w:rFonts w:ascii="Arial" w:hAnsi="Arial" w:cs="Arial"/>
          <w:b/>
          <w:sz w:val="18"/>
          <w:lang w:eastAsia="es-MX"/>
        </w:rPr>
        <w:t xml:space="preserve">                          </w:t>
      </w:r>
      <w:r w:rsidR="00954059" w:rsidRPr="002C0B41">
        <w:rPr>
          <w:rFonts w:ascii="Arial" w:hAnsi="Arial" w:cs="Arial"/>
          <w:b/>
          <w:sz w:val="18"/>
          <w:lang w:eastAsia="es-MX"/>
        </w:rPr>
        <w:t>Fuente:</w:t>
      </w:r>
      <w:r w:rsidR="00954059">
        <w:rPr>
          <w:rFonts w:ascii="Arial" w:hAnsi="Arial" w:cs="Arial"/>
          <w:sz w:val="18"/>
          <w:lang w:eastAsia="es-MX"/>
        </w:rPr>
        <w:t xml:space="preserve"> Gutiérrez </w:t>
      </w:r>
      <w:r w:rsidR="00063D0E">
        <w:rPr>
          <w:rFonts w:ascii="Arial" w:hAnsi="Arial" w:cs="Arial"/>
          <w:i/>
          <w:sz w:val="18"/>
          <w:lang w:eastAsia="es-MX"/>
        </w:rPr>
        <w:t>et</w:t>
      </w:r>
      <w:r w:rsidR="00954059" w:rsidRPr="00DE354C">
        <w:rPr>
          <w:rFonts w:ascii="Arial" w:hAnsi="Arial" w:cs="Arial"/>
          <w:i/>
          <w:sz w:val="18"/>
          <w:lang w:eastAsia="es-MX"/>
        </w:rPr>
        <w:t xml:space="preserve"> al.</w:t>
      </w:r>
      <w:r w:rsidR="00954059" w:rsidRPr="002C0B41">
        <w:rPr>
          <w:rFonts w:ascii="Arial" w:hAnsi="Arial" w:cs="Arial"/>
          <w:sz w:val="18"/>
          <w:lang w:eastAsia="es-MX"/>
        </w:rPr>
        <w:t xml:space="preserve"> (2017)</w:t>
      </w:r>
      <w:r w:rsidR="00954059">
        <w:rPr>
          <w:rFonts w:ascii="Arial" w:hAnsi="Arial" w:cs="Arial"/>
          <w:sz w:val="18"/>
          <w:lang w:eastAsia="es-MX"/>
        </w:rPr>
        <w:t>, p. 210</w:t>
      </w:r>
      <w:r w:rsidR="00954059" w:rsidRPr="002C0B41">
        <w:rPr>
          <w:rFonts w:ascii="Arial" w:hAnsi="Arial" w:cs="Arial"/>
          <w:sz w:val="18"/>
          <w:lang w:eastAsia="es-MX"/>
        </w:rPr>
        <w:t>.</w:t>
      </w:r>
    </w:p>
    <w:p w14:paraId="60B278FE" w14:textId="77777777" w:rsidR="00954059" w:rsidRDefault="00954059" w:rsidP="00954059">
      <w:pPr>
        <w:spacing w:line="360" w:lineRule="auto"/>
        <w:jc w:val="both"/>
        <w:rPr>
          <w:rFonts w:ascii="Arial" w:hAnsi="Arial" w:cs="Arial"/>
          <w:lang w:eastAsia="es-MX"/>
        </w:rPr>
      </w:pPr>
    </w:p>
    <w:p w14:paraId="39D893B9" w14:textId="4D2F360D" w:rsidR="00954059" w:rsidRDefault="00954059" w:rsidP="00954059">
      <w:pPr>
        <w:spacing w:line="360" w:lineRule="auto"/>
        <w:jc w:val="both"/>
        <w:rPr>
          <w:rFonts w:ascii="Arial" w:hAnsi="Arial" w:cs="Arial"/>
          <w:lang w:eastAsia="es-MX"/>
        </w:rPr>
      </w:pPr>
      <w:r>
        <w:rPr>
          <w:rFonts w:ascii="Arial" w:hAnsi="Arial" w:cs="Arial"/>
          <w:lang w:eastAsia="es-MX"/>
        </w:rPr>
        <w:t xml:space="preserve">En específico, respecto a las características de la escuela de medicina del modelo de Bland-Meurer (reformulado por Querido </w:t>
      </w:r>
      <w:r w:rsidRPr="00A467B9">
        <w:rPr>
          <w:rFonts w:ascii="Arial" w:hAnsi="Arial" w:cs="Arial"/>
          <w:i/>
          <w:lang w:eastAsia="es-MX"/>
        </w:rPr>
        <w:t>et al.</w:t>
      </w:r>
      <w:r>
        <w:rPr>
          <w:rFonts w:ascii="Arial" w:hAnsi="Arial" w:cs="Arial"/>
          <w:lang w:eastAsia="es-MX"/>
        </w:rPr>
        <w:t xml:space="preserve">), Gutiérrez </w:t>
      </w:r>
      <w:r w:rsidRPr="00DE354C">
        <w:rPr>
          <w:rFonts w:ascii="Arial" w:hAnsi="Arial" w:cs="Arial"/>
          <w:i/>
          <w:lang w:eastAsia="es-MX"/>
        </w:rPr>
        <w:t>et al.</w:t>
      </w:r>
      <w:r>
        <w:rPr>
          <w:rFonts w:ascii="Arial" w:hAnsi="Arial" w:cs="Arial"/>
          <w:lang w:eastAsia="es-MX"/>
        </w:rPr>
        <w:t xml:space="preserve"> </w:t>
      </w:r>
      <w:r w:rsidR="00715A54">
        <w:rPr>
          <w:rFonts w:ascii="Arial" w:hAnsi="Arial" w:cs="Arial"/>
          <w:lang w:eastAsia="es-MX"/>
        </w:rPr>
        <w:t>Mencionan</w:t>
      </w:r>
      <w:r>
        <w:rPr>
          <w:rFonts w:ascii="Arial" w:hAnsi="Arial" w:cs="Arial"/>
          <w:lang w:eastAsia="es-MX"/>
        </w:rPr>
        <w:t>:</w:t>
      </w:r>
    </w:p>
    <w:p w14:paraId="44A7E5D1" w14:textId="77777777" w:rsidR="00954059" w:rsidRPr="00A467B9" w:rsidRDefault="00954059" w:rsidP="00954059">
      <w:pPr>
        <w:spacing w:line="360" w:lineRule="auto"/>
        <w:ind w:left="708"/>
        <w:jc w:val="both"/>
        <w:rPr>
          <w:rFonts w:ascii="Arial" w:hAnsi="Arial" w:cs="Arial"/>
          <w:i/>
          <w:lang w:eastAsia="es-MX"/>
        </w:rPr>
      </w:pPr>
      <w:r w:rsidRPr="00A467B9">
        <w:rPr>
          <w:rFonts w:ascii="Arial" w:hAnsi="Arial" w:cs="Arial"/>
          <w:i/>
          <w:sz w:val="20"/>
          <w:lang w:eastAsia="es-MX"/>
        </w:rPr>
        <w:t xml:space="preserve">“Durante la carrera de medicina, los estudiantes de alguna manera «pertenecen» a la escuela de medicina y se nutren de la misión, orientación y estructura de la escuela en la que se forman, ya sea pública o privada. La selección de los estudiantes también determina la orientación que tendrán al final de la carrera. La secuencia de las rotaciones clínicas (con mayor o menor carga hacia rotaciones quirúrgicas o de atención primaria (definida como la atención a medicina interna, pediatría, medicina familiar o medicina general), puede influir </w:t>
      </w:r>
      <w:r w:rsidRPr="00A467B9">
        <w:rPr>
          <w:rFonts w:ascii="Arial" w:hAnsi="Arial" w:cs="Arial"/>
          <w:i/>
          <w:sz w:val="20"/>
          <w:lang w:eastAsia="es-MX"/>
        </w:rPr>
        <w:lastRenderedPageBreak/>
        <w:t xml:space="preserve">en </w:t>
      </w:r>
      <w:r>
        <w:rPr>
          <w:rFonts w:ascii="Arial" w:hAnsi="Arial" w:cs="Arial"/>
          <w:i/>
          <w:sz w:val="20"/>
          <w:lang w:eastAsia="es-MX"/>
        </w:rPr>
        <w:t>la elección de la especialidad</w:t>
      </w:r>
      <w:r w:rsidRPr="00A467B9">
        <w:rPr>
          <w:rFonts w:ascii="Arial" w:hAnsi="Arial" w:cs="Arial"/>
          <w:i/>
          <w:sz w:val="20"/>
          <w:lang w:eastAsia="es-MX"/>
        </w:rPr>
        <w:t>. De la misma forma, el diseño o curricular del plan de estudios (tradicional</w:t>
      </w:r>
      <w:r>
        <w:rPr>
          <w:rFonts w:ascii="Arial" w:hAnsi="Arial" w:cs="Arial"/>
          <w:i/>
          <w:sz w:val="20"/>
          <w:lang w:eastAsia="es-MX"/>
        </w:rPr>
        <w:t xml:space="preserve"> </w:t>
      </w:r>
      <w:r w:rsidRPr="00A467B9">
        <w:rPr>
          <w:rFonts w:ascii="Arial" w:hAnsi="Arial" w:cs="Arial"/>
          <w:i/>
          <w:sz w:val="20"/>
          <w:lang w:eastAsia="es-MX"/>
        </w:rPr>
        <w:t>o basado en problemas) puede afectar la elección.”</w:t>
      </w:r>
      <w:r>
        <w:rPr>
          <w:rFonts w:ascii="Arial" w:hAnsi="Arial" w:cs="Arial"/>
          <w:i/>
          <w:sz w:val="20"/>
          <w:lang w:eastAsia="es-MX"/>
        </w:rPr>
        <w:t xml:space="preserve"> (p.210)</w:t>
      </w:r>
    </w:p>
    <w:p w14:paraId="782852F2" w14:textId="77777777" w:rsidR="00954059" w:rsidRDefault="00954059" w:rsidP="00954059">
      <w:pPr>
        <w:spacing w:line="360" w:lineRule="auto"/>
        <w:jc w:val="both"/>
        <w:rPr>
          <w:rFonts w:ascii="Arial" w:hAnsi="Arial" w:cs="Arial"/>
          <w:lang w:eastAsia="es-MX"/>
        </w:rPr>
      </w:pPr>
      <w:r>
        <w:rPr>
          <w:rFonts w:ascii="Arial" w:hAnsi="Arial" w:cs="Arial"/>
          <w:lang w:eastAsia="es-MX"/>
        </w:rPr>
        <w:t>Adicionalmente, sobre la percepción y características de la especialidad, los autores mencionan:</w:t>
      </w:r>
    </w:p>
    <w:p w14:paraId="3E030DD1" w14:textId="77777777" w:rsidR="00954059" w:rsidRPr="006D6345" w:rsidRDefault="00954059" w:rsidP="00954059">
      <w:pPr>
        <w:spacing w:line="360" w:lineRule="auto"/>
        <w:ind w:left="708"/>
        <w:jc w:val="both"/>
        <w:rPr>
          <w:rFonts w:ascii="Arial" w:hAnsi="Arial" w:cs="Arial"/>
          <w:sz w:val="20"/>
          <w:lang w:eastAsia="es-MX"/>
        </w:rPr>
      </w:pPr>
      <w:r w:rsidRPr="001C312A">
        <w:rPr>
          <w:rFonts w:ascii="Arial" w:hAnsi="Arial" w:cs="Arial"/>
          <w:i/>
          <w:sz w:val="20"/>
          <w:lang w:eastAsia="es-MX"/>
        </w:rPr>
        <w:t>“El poder obtener un lugar como residente modifica la elección. La exposición a determinadas experiencias curriculares durante la formación médica, también parece ser determinante. Las experiencias clínicas, rotaciones, el hacer procedimientos médicos y el contacto con cierto tipo de paciente están relacionados con la [especialidad] a elegir. También las experiencias extracurriculares como el haber estado enfermo en la infancia y los modelos de rol pueden ser determinantes para elegir una especialidad. Actualmente, la representación del especialista en los medios o en Internet, parece tener influencia en la decisión.”</w:t>
      </w:r>
      <w:r>
        <w:rPr>
          <w:rFonts w:ascii="Arial" w:hAnsi="Arial" w:cs="Arial"/>
          <w:sz w:val="20"/>
          <w:lang w:eastAsia="es-MX"/>
        </w:rPr>
        <w:t xml:space="preserve"> </w:t>
      </w:r>
      <w:r w:rsidRPr="006D6345">
        <w:rPr>
          <w:rFonts w:ascii="Arial" w:hAnsi="Arial" w:cs="Arial"/>
          <w:i/>
          <w:sz w:val="20"/>
          <w:lang w:eastAsia="es-MX"/>
        </w:rPr>
        <w:t>(p.212)</w:t>
      </w:r>
    </w:p>
    <w:p w14:paraId="1635E72A" w14:textId="0212B676" w:rsidR="00954059" w:rsidRDefault="00954059" w:rsidP="00954059">
      <w:pPr>
        <w:spacing w:line="360" w:lineRule="auto"/>
        <w:jc w:val="both"/>
        <w:rPr>
          <w:rFonts w:ascii="Arial" w:hAnsi="Arial" w:cs="Arial"/>
          <w:lang w:eastAsia="es-MX"/>
        </w:rPr>
      </w:pPr>
      <w:r>
        <w:rPr>
          <w:rFonts w:ascii="Arial" w:hAnsi="Arial" w:cs="Arial"/>
          <w:lang w:eastAsia="es-MX"/>
        </w:rPr>
        <w:t xml:space="preserve">Tomando como base el modelo anterior como hilo conductor, es que se desarrolla la potencial demanda del </w:t>
      </w:r>
      <w:r w:rsidRPr="001C312A">
        <w:rPr>
          <w:rFonts w:ascii="Arial" w:hAnsi="Arial" w:cs="Arial"/>
          <w:lang w:eastAsia="es-MX"/>
        </w:rPr>
        <w:t xml:space="preserve">programa académico de la Especialidad en </w:t>
      </w:r>
      <w:r w:rsidR="00F57F52" w:rsidRPr="003F04BE">
        <w:rPr>
          <w:rFonts w:ascii="Arial" w:hAnsi="Arial" w:cs="Arial"/>
          <w:lang w:eastAsia="es-MX"/>
        </w:rPr>
        <w:t>Neonat</w:t>
      </w:r>
      <w:r w:rsidR="00E06CD6" w:rsidRPr="003F04BE">
        <w:rPr>
          <w:rFonts w:ascii="Arial" w:hAnsi="Arial" w:cs="Arial"/>
          <w:lang w:eastAsia="es-MX"/>
        </w:rPr>
        <w:t>ologí</w:t>
      </w:r>
      <w:r w:rsidRPr="003F04BE">
        <w:rPr>
          <w:rFonts w:ascii="Arial" w:hAnsi="Arial" w:cs="Arial"/>
          <w:lang w:eastAsia="es-MX"/>
        </w:rPr>
        <w:t>a</w:t>
      </w:r>
      <w:r>
        <w:rPr>
          <w:rFonts w:ascii="Arial" w:hAnsi="Arial" w:cs="Arial"/>
          <w:lang w:eastAsia="es-MX"/>
        </w:rPr>
        <w:t xml:space="preserve"> </w:t>
      </w:r>
      <w:r w:rsidRPr="001C312A">
        <w:rPr>
          <w:rFonts w:ascii="Arial" w:hAnsi="Arial" w:cs="Arial"/>
          <w:lang w:eastAsia="es-MX"/>
        </w:rPr>
        <w:t>que oferta la Universidad la Salle</w:t>
      </w:r>
      <w:r>
        <w:rPr>
          <w:rFonts w:ascii="Arial" w:hAnsi="Arial" w:cs="Arial"/>
          <w:lang w:eastAsia="es-MX"/>
        </w:rPr>
        <w:t>. Al respecto, como se mencionó en apartados anteriores, en México, para 2016, la proporción de médicos especialistas (64%) es mayor a la de los médicos generales (36%), de tal forma que se sitúa por arriba del promedio de proporciones de la OCDE y de países como Francia, Canadá y Chile, pero detrás de países como Israel, Reino Unido y Estados Unidos. Además, para el mismo año, la tasa de médicos graduados en el país era de 12.62 por ca</w:t>
      </w:r>
      <w:r w:rsidR="00F260F1">
        <w:rPr>
          <w:rFonts w:ascii="Arial" w:hAnsi="Arial" w:cs="Arial"/>
          <w:lang w:eastAsia="es-MX"/>
        </w:rPr>
        <w:t>da 100,000 habitantes (</w:t>
      </w:r>
      <w:r w:rsidR="00F260F1" w:rsidRPr="00396BFB">
        <w:rPr>
          <w:rFonts w:ascii="Arial" w:hAnsi="Arial" w:cs="Arial"/>
          <w:lang w:eastAsia="es-MX"/>
        </w:rPr>
        <w:t xml:space="preserve">Gráfica </w:t>
      </w:r>
      <w:r w:rsidR="00396BFB" w:rsidRPr="00396BFB">
        <w:rPr>
          <w:rFonts w:ascii="Arial" w:hAnsi="Arial" w:cs="Arial"/>
          <w:lang w:eastAsia="es-MX"/>
        </w:rPr>
        <w:t>5</w:t>
      </w:r>
      <w:r>
        <w:rPr>
          <w:rFonts w:ascii="Arial" w:hAnsi="Arial" w:cs="Arial"/>
          <w:lang w:eastAsia="es-MX"/>
        </w:rPr>
        <w:t>), casi similar al promedio de la OCDE, posicionándose por arriba de países como Alemania, Canadá, Estados Unidos y Japón por mencionar sólo algunos. No obstante, esta alta cifra de médicos graduados crea presiones sobre el número ofertado de residencias en cualquier especialidad.</w:t>
      </w:r>
    </w:p>
    <w:p w14:paraId="2CF200BD" w14:textId="0E996E89" w:rsidR="00954059" w:rsidRDefault="00954059" w:rsidP="00954059">
      <w:pPr>
        <w:spacing w:line="360" w:lineRule="auto"/>
        <w:jc w:val="center"/>
        <w:rPr>
          <w:rFonts w:ascii="Arial" w:hAnsi="Arial" w:cs="Arial"/>
          <w:b/>
          <w:lang w:eastAsia="es-MX"/>
        </w:rPr>
      </w:pPr>
    </w:p>
    <w:p w14:paraId="2F32372A" w14:textId="081B29DA" w:rsidR="00245744" w:rsidRDefault="00245744" w:rsidP="00954059">
      <w:pPr>
        <w:spacing w:line="360" w:lineRule="auto"/>
        <w:jc w:val="center"/>
        <w:rPr>
          <w:rFonts w:ascii="Arial" w:hAnsi="Arial" w:cs="Arial"/>
          <w:b/>
          <w:lang w:eastAsia="es-MX"/>
        </w:rPr>
      </w:pPr>
    </w:p>
    <w:p w14:paraId="1521525C" w14:textId="415BA671" w:rsidR="00245744" w:rsidRDefault="00245744" w:rsidP="00954059">
      <w:pPr>
        <w:spacing w:line="360" w:lineRule="auto"/>
        <w:jc w:val="center"/>
        <w:rPr>
          <w:rFonts w:ascii="Arial" w:hAnsi="Arial" w:cs="Arial"/>
          <w:b/>
          <w:lang w:eastAsia="es-MX"/>
        </w:rPr>
      </w:pPr>
    </w:p>
    <w:p w14:paraId="740D24E6" w14:textId="4340C5CA" w:rsidR="00245744" w:rsidRDefault="00245744" w:rsidP="00954059">
      <w:pPr>
        <w:spacing w:line="360" w:lineRule="auto"/>
        <w:jc w:val="center"/>
        <w:rPr>
          <w:rFonts w:ascii="Arial" w:hAnsi="Arial" w:cs="Arial"/>
          <w:b/>
          <w:lang w:eastAsia="es-MX"/>
        </w:rPr>
      </w:pPr>
    </w:p>
    <w:p w14:paraId="26F0B8C4" w14:textId="56F1F507" w:rsidR="00245744" w:rsidRDefault="00245744" w:rsidP="00954059">
      <w:pPr>
        <w:spacing w:line="360" w:lineRule="auto"/>
        <w:jc w:val="center"/>
        <w:rPr>
          <w:rFonts w:ascii="Arial" w:hAnsi="Arial" w:cs="Arial"/>
          <w:b/>
          <w:lang w:eastAsia="es-MX"/>
        </w:rPr>
      </w:pPr>
    </w:p>
    <w:p w14:paraId="1B5202F5" w14:textId="67049B21" w:rsidR="003F04BE" w:rsidRDefault="003F04BE" w:rsidP="00954059">
      <w:pPr>
        <w:spacing w:line="360" w:lineRule="auto"/>
        <w:jc w:val="center"/>
        <w:rPr>
          <w:rFonts w:ascii="Arial" w:hAnsi="Arial" w:cs="Arial"/>
          <w:b/>
          <w:lang w:eastAsia="es-MX"/>
        </w:rPr>
      </w:pPr>
    </w:p>
    <w:p w14:paraId="36C03B7F" w14:textId="77777777" w:rsidR="003F04BE" w:rsidRDefault="003F04BE" w:rsidP="00954059">
      <w:pPr>
        <w:spacing w:line="360" w:lineRule="auto"/>
        <w:jc w:val="center"/>
        <w:rPr>
          <w:rFonts w:ascii="Arial" w:hAnsi="Arial" w:cs="Arial"/>
          <w:b/>
          <w:lang w:eastAsia="es-MX"/>
        </w:rPr>
      </w:pPr>
    </w:p>
    <w:p w14:paraId="5B131B44" w14:textId="716CC379" w:rsidR="00954059" w:rsidRPr="004A29D9" w:rsidRDefault="0019648E" w:rsidP="00954059">
      <w:pPr>
        <w:spacing w:line="360" w:lineRule="auto"/>
        <w:jc w:val="center"/>
        <w:rPr>
          <w:rFonts w:ascii="Arial" w:hAnsi="Arial" w:cs="Arial"/>
          <w:b/>
          <w:lang w:eastAsia="es-MX"/>
        </w:rPr>
      </w:pPr>
      <w:r>
        <w:rPr>
          <w:rFonts w:ascii="Arial" w:hAnsi="Arial" w:cs="Arial"/>
          <w:b/>
          <w:lang w:eastAsia="es-MX"/>
        </w:rPr>
        <w:lastRenderedPageBreak/>
        <w:t xml:space="preserve">Gráfica </w:t>
      </w:r>
      <w:r w:rsidR="003F04BE">
        <w:rPr>
          <w:rFonts w:ascii="Arial" w:hAnsi="Arial" w:cs="Arial"/>
          <w:b/>
          <w:lang w:eastAsia="es-MX"/>
        </w:rPr>
        <w:t>5</w:t>
      </w:r>
      <w:r w:rsidR="00954059" w:rsidRPr="004A29D9">
        <w:rPr>
          <w:rFonts w:ascii="Arial" w:hAnsi="Arial" w:cs="Arial"/>
          <w:b/>
          <w:lang w:eastAsia="es-MX"/>
        </w:rPr>
        <w:t>. Tasa de médicos graduados en diversos países de la OCDE, 2016 (o años más reciente).</w:t>
      </w:r>
    </w:p>
    <w:p w14:paraId="0709D9EC" w14:textId="77777777" w:rsidR="00954059" w:rsidRDefault="00954059" w:rsidP="00954059">
      <w:pPr>
        <w:spacing w:after="0" w:line="360" w:lineRule="auto"/>
        <w:jc w:val="center"/>
        <w:rPr>
          <w:rFonts w:ascii="Arial" w:hAnsi="Arial" w:cs="Arial"/>
          <w:lang w:eastAsia="es-MX"/>
        </w:rPr>
      </w:pPr>
      <w:r>
        <w:rPr>
          <w:noProof/>
          <w:lang w:eastAsia="es-MX"/>
        </w:rPr>
        <w:drawing>
          <wp:inline distT="0" distB="0" distL="0" distR="0" wp14:anchorId="0104947F" wp14:editId="27C188E8">
            <wp:extent cx="5172076" cy="2995614"/>
            <wp:effectExtent l="0" t="0" r="9525" b="14605"/>
            <wp:docPr id="16" name="Gráfico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1FF9DA86" w14:textId="77777777" w:rsidR="00954059" w:rsidRDefault="00954059" w:rsidP="00954059">
      <w:pPr>
        <w:spacing w:after="0" w:line="360" w:lineRule="auto"/>
        <w:jc w:val="center"/>
        <w:rPr>
          <w:rFonts w:ascii="Arial" w:hAnsi="Arial" w:cs="Arial"/>
          <w:lang w:eastAsia="es-MX"/>
        </w:rPr>
      </w:pPr>
      <w:r w:rsidRPr="00075890">
        <w:rPr>
          <w:rFonts w:ascii="Arial" w:hAnsi="Arial" w:cs="Arial"/>
          <w:b/>
          <w:sz w:val="18"/>
          <w:lang w:eastAsia="es-MX"/>
        </w:rPr>
        <w:t>Fuente:</w:t>
      </w:r>
      <w:r w:rsidRPr="00075890">
        <w:rPr>
          <w:rFonts w:ascii="Arial" w:hAnsi="Arial" w:cs="Arial"/>
          <w:sz w:val="18"/>
          <w:lang w:eastAsia="es-MX"/>
        </w:rPr>
        <w:t xml:space="preserve"> Elaboración propia con base en OCDE (2017).</w:t>
      </w:r>
    </w:p>
    <w:p w14:paraId="4F410B77" w14:textId="77777777" w:rsidR="00954059" w:rsidRDefault="00954059" w:rsidP="00954059">
      <w:pPr>
        <w:spacing w:line="360" w:lineRule="auto"/>
        <w:jc w:val="both"/>
        <w:rPr>
          <w:rFonts w:ascii="Arial" w:hAnsi="Arial" w:cs="Arial"/>
          <w:lang w:eastAsia="es-MX"/>
        </w:rPr>
      </w:pPr>
    </w:p>
    <w:p w14:paraId="0D61A455" w14:textId="6108E007" w:rsidR="00954059" w:rsidRDefault="00954059" w:rsidP="00954059">
      <w:pPr>
        <w:spacing w:line="360" w:lineRule="auto"/>
        <w:jc w:val="both"/>
        <w:rPr>
          <w:rFonts w:ascii="Arial" w:hAnsi="Arial" w:cs="Arial"/>
          <w:lang w:eastAsia="es-MX"/>
        </w:rPr>
      </w:pPr>
      <w:r>
        <w:rPr>
          <w:rFonts w:ascii="Arial" w:hAnsi="Arial" w:cs="Arial"/>
          <w:lang w:eastAsia="es-MX"/>
        </w:rPr>
        <w:t>Por lo anterior, la demanda virtual de la especialidad se puede construir como el</w:t>
      </w:r>
      <w:r w:rsidRPr="0045180E">
        <w:rPr>
          <w:rFonts w:ascii="Arial" w:hAnsi="Arial" w:cs="Arial"/>
          <w:lang w:eastAsia="es-MX"/>
        </w:rPr>
        <w:t xml:space="preserve"> número de </w:t>
      </w:r>
      <w:r>
        <w:rPr>
          <w:rFonts w:ascii="Arial" w:hAnsi="Arial" w:cs="Arial"/>
          <w:lang w:eastAsia="es-MX"/>
        </w:rPr>
        <w:t xml:space="preserve">médicos graduados –correspondiente al ciclo inmediato anterior– en determinado año </w:t>
      </w:r>
      <w:r w:rsidRPr="0045180E">
        <w:rPr>
          <w:rFonts w:ascii="Arial" w:hAnsi="Arial" w:cs="Arial"/>
          <w:lang w:eastAsia="es-MX"/>
        </w:rPr>
        <w:t>para ingresar al nivel educativo</w:t>
      </w:r>
      <w:r>
        <w:rPr>
          <w:rFonts w:ascii="Arial" w:hAnsi="Arial" w:cs="Arial"/>
          <w:lang w:eastAsia="es-MX"/>
        </w:rPr>
        <w:t xml:space="preserve"> del ciclo ofertado</w:t>
      </w:r>
      <w:r>
        <w:rPr>
          <w:rStyle w:val="Refdenotaalpie"/>
          <w:rFonts w:ascii="Arial" w:hAnsi="Arial" w:cs="Arial"/>
          <w:lang w:eastAsia="es-MX"/>
        </w:rPr>
        <w:footnoteReference w:id="82"/>
      </w:r>
      <w:r>
        <w:rPr>
          <w:rFonts w:ascii="Arial" w:hAnsi="Arial" w:cs="Arial"/>
          <w:lang w:eastAsia="es-MX"/>
        </w:rPr>
        <w:t>; sin embargo, una proporción considerable de los egresados deciden dedicarse a la práctica de la medicina general y a la atención ambulatoria de primer nivel</w:t>
      </w:r>
      <w:r>
        <w:rPr>
          <w:rStyle w:val="Refdenotaalpie"/>
          <w:rFonts w:ascii="Arial" w:hAnsi="Arial" w:cs="Arial"/>
          <w:lang w:eastAsia="es-MX"/>
        </w:rPr>
        <w:footnoteReference w:id="83"/>
      </w:r>
      <w:r w:rsidR="00F57F52">
        <w:rPr>
          <w:rFonts w:ascii="Arial" w:hAnsi="Arial" w:cs="Arial"/>
          <w:lang w:eastAsia="es-MX"/>
        </w:rPr>
        <w:t xml:space="preserve">. Entonces, la </w:t>
      </w:r>
      <w:r w:rsidRPr="0045180E">
        <w:rPr>
          <w:rFonts w:ascii="Arial" w:hAnsi="Arial" w:cs="Arial"/>
          <w:lang w:eastAsia="es-MX"/>
        </w:rPr>
        <w:t>demanda real se</w:t>
      </w:r>
      <w:r>
        <w:rPr>
          <w:rFonts w:ascii="Arial" w:hAnsi="Arial" w:cs="Arial"/>
          <w:lang w:eastAsia="es-MX"/>
        </w:rPr>
        <w:t xml:space="preserve">ría el número de sustentantes </w:t>
      </w:r>
      <w:r w:rsidRPr="0045180E">
        <w:rPr>
          <w:rFonts w:ascii="Arial" w:hAnsi="Arial" w:cs="Arial"/>
          <w:lang w:eastAsia="es-MX"/>
        </w:rPr>
        <w:t>efectivos que solicitan su ingreso en determinado ciclo</w:t>
      </w:r>
      <w:r>
        <w:rPr>
          <w:rFonts w:ascii="Arial" w:hAnsi="Arial" w:cs="Arial"/>
          <w:lang w:eastAsia="es-MX"/>
        </w:rPr>
        <w:t xml:space="preserve"> a alguna especialidad médica a través del </w:t>
      </w:r>
      <w:r w:rsidRPr="0045180E">
        <w:rPr>
          <w:rFonts w:ascii="Arial" w:hAnsi="Arial" w:cs="Arial"/>
          <w:lang w:eastAsia="es-MX"/>
        </w:rPr>
        <w:t>Examen Nacional para Aspirantes a las Residencias Médicas</w:t>
      </w:r>
      <w:r>
        <w:rPr>
          <w:rFonts w:ascii="Arial" w:hAnsi="Arial" w:cs="Arial"/>
          <w:lang w:eastAsia="es-MX"/>
        </w:rPr>
        <w:t xml:space="preserve"> (ENARM). Específicamente, para el año 2018, hubo 40,081 estudiantes, mientras que la oferta fue de 8,821 plazas ofertadas en total. La Gráfica 2 muestra la evolución de los sustentantes en el período 2010-2018; en estos años se muestra una clara tendencia a la alza, con una tasa promedio de incremento de 8.1% anual. Asimismo, se hizo un pronóstico estocástico de la variable con el objetivo de indagar el volumen de la demanda –sustentantes–  en especialidades médicas; para 2019, se proyecta que haya 41.5 mil aspirantes a </w:t>
      </w:r>
      <w:r>
        <w:rPr>
          <w:rFonts w:ascii="Arial" w:hAnsi="Arial" w:cs="Arial"/>
          <w:lang w:eastAsia="es-MX"/>
        </w:rPr>
        <w:lastRenderedPageBreak/>
        <w:t>especialidades médicas (38.9-44.2 para un IP de 95%). Para 2024, el pronóstico indica que de seguir la tendencia a la alza, la demanda de médicos por las especialidades puede ser 53.4 sustentantes (50.7-56.1 IP 95%).</w:t>
      </w:r>
    </w:p>
    <w:p w14:paraId="75EA0B05" w14:textId="1DAC7DEA" w:rsidR="00954059" w:rsidRPr="00914CC9" w:rsidRDefault="00954059" w:rsidP="00954059">
      <w:pPr>
        <w:spacing w:line="360" w:lineRule="auto"/>
        <w:jc w:val="center"/>
        <w:rPr>
          <w:rFonts w:ascii="Arial" w:hAnsi="Arial" w:cs="Arial"/>
          <w:b/>
          <w:lang w:eastAsia="es-MX"/>
        </w:rPr>
      </w:pPr>
      <w:r w:rsidRPr="00914CC9">
        <w:rPr>
          <w:rFonts w:ascii="Arial" w:hAnsi="Arial" w:cs="Arial"/>
          <w:b/>
          <w:lang w:eastAsia="es-MX"/>
        </w:rPr>
        <w:t>Gráfica</w:t>
      </w:r>
      <w:r w:rsidR="0019648E">
        <w:rPr>
          <w:rFonts w:ascii="Arial" w:hAnsi="Arial" w:cs="Arial"/>
          <w:b/>
          <w:lang w:eastAsia="es-MX"/>
        </w:rPr>
        <w:t xml:space="preserve"> </w:t>
      </w:r>
      <w:r w:rsidR="003F04BE">
        <w:rPr>
          <w:rFonts w:ascii="Arial" w:hAnsi="Arial" w:cs="Arial"/>
          <w:b/>
          <w:lang w:eastAsia="es-MX"/>
        </w:rPr>
        <w:t>6</w:t>
      </w:r>
      <w:r w:rsidRPr="00914CC9">
        <w:rPr>
          <w:rFonts w:ascii="Arial" w:hAnsi="Arial" w:cs="Arial"/>
          <w:b/>
          <w:lang w:eastAsia="es-MX"/>
        </w:rPr>
        <w:t>. Evolución y pronósticos de sustentantes del ENARM, 2010-2014.</w:t>
      </w:r>
    </w:p>
    <w:p w14:paraId="2EB5BD39" w14:textId="77777777" w:rsidR="00954059" w:rsidRDefault="00954059" w:rsidP="00954059">
      <w:pPr>
        <w:spacing w:after="0" w:line="360" w:lineRule="auto"/>
        <w:jc w:val="center"/>
        <w:rPr>
          <w:rFonts w:ascii="Arial" w:hAnsi="Arial" w:cs="Arial"/>
          <w:lang w:eastAsia="es-MX"/>
        </w:rPr>
      </w:pPr>
      <w:r>
        <w:rPr>
          <w:noProof/>
          <w:lang w:eastAsia="es-MX"/>
        </w:rPr>
        <w:drawing>
          <wp:inline distT="0" distB="0" distL="0" distR="0" wp14:anchorId="46ADEBAC" wp14:editId="1936FE17">
            <wp:extent cx="5005388" cy="2852738"/>
            <wp:effectExtent l="0" t="0" r="5080" b="5080"/>
            <wp:docPr id="18" name="Gráfico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0D28F7AC" w14:textId="77777777" w:rsidR="00954059" w:rsidRPr="000A3DCE" w:rsidRDefault="00954059" w:rsidP="00954059">
      <w:pPr>
        <w:spacing w:after="0" w:line="360" w:lineRule="auto"/>
        <w:jc w:val="center"/>
        <w:rPr>
          <w:rFonts w:ascii="Arial" w:hAnsi="Arial" w:cs="Arial"/>
          <w:sz w:val="18"/>
          <w:lang w:eastAsia="es-MX"/>
        </w:rPr>
      </w:pPr>
      <w:r w:rsidRPr="00075890">
        <w:rPr>
          <w:rFonts w:ascii="Arial" w:hAnsi="Arial" w:cs="Arial"/>
          <w:b/>
          <w:sz w:val="18"/>
          <w:lang w:eastAsia="es-MX"/>
        </w:rPr>
        <w:t>Fuente:</w:t>
      </w:r>
      <w:r w:rsidRPr="00AA53EE">
        <w:rPr>
          <w:rFonts w:ascii="Arial" w:hAnsi="Arial" w:cs="Arial"/>
          <w:sz w:val="18"/>
          <w:lang w:eastAsia="es-MX"/>
        </w:rPr>
        <w:t xml:space="preserve"> Elaboración propia con base </w:t>
      </w:r>
      <w:r>
        <w:rPr>
          <w:rFonts w:ascii="Arial" w:hAnsi="Arial" w:cs="Arial"/>
          <w:sz w:val="18"/>
          <w:lang w:eastAsia="es-MX"/>
        </w:rPr>
        <w:t>en los reportes académicos de CIFRHS (2010-2018).</w:t>
      </w:r>
    </w:p>
    <w:p w14:paraId="77B22B4B" w14:textId="77777777" w:rsidR="00954059" w:rsidRDefault="00954059" w:rsidP="00954059">
      <w:pPr>
        <w:spacing w:line="360" w:lineRule="auto"/>
        <w:jc w:val="both"/>
        <w:rPr>
          <w:rFonts w:ascii="Arial" w:hAnsi="Arial" w:cs="Arial"/>
          <w:lang w:eastAsia="es-MX"/>
        </w:rPr>
      </w:pPr>
    </w:p>
    <w:p w14:paraId="2BBC7DC5" w14:textId="0312C982" w:rsidR="00F57F52" w:rsidRDefault="00F57F52" w:rsidP="00F57F52">
      <w:pPr>
        <w:spacing w:line="360" w:lineRule="auto"/>
        <w:jc w:val="both"/>
        <w:rPr>
          <w:rFonts w:ascii="Arial" w:hAnsi="Arial" w:cs="Arial"/>
          <w:lang w:eastAsia="es-MX"/>
        </w:rPr>
      </w:pPr>
      <w:r>
        <w:rPr>
          <w:rFonts w:ascii="Arial" w:hAnsi="Arial" w:cs="Arial"/>
          <w:lang w:eastAsia="es-MX"/>
        </w:rPr>
        <w:t xml:space="preserve">Específicamente para la especialidad de Neonatología, las estadísticas no están disponibles en el portal web de </w:t>
      </w:r>
      <w:r w:rsidRPr="004B3C09">
        <w:rPr>
          <w:rFonts w:ascii="Arial" w:hAnsi="Arial" w:cs="Arial"/>
          <w:lang w:eastAsia="es-MX"/>
        </w:rPr>
        <w:t>CIFRHS</w:t>
      </w:r>
      <w:r>
        <w:rPr>
          <w:rFonts w:ascii="Arial" w:hAnsi="Arial" w:cs="Arial"/>
          <w:lang w:eastAsia="es-MX"/>
        </w:rPr>
        <w:t>, debido a la lógica del mismo programa. Por lo anterior, se generalizan las estadísticas de Pediatría, ya que es un requisito necesario para la primera especialidad. En resumen, en 2018 se ofertaron 852 lugares, es decir, 9.7% de las plazas ofertadas por el ENARM corresponden a dicha especialidad. Durante el período 2012-2018 (</w:t>
      </w:r>
      <w:r w:rsidRPr="003F04BE">
        <w:rPr>
          <w:rFonts w:ascii="Arial" w:hAnsi="Arial" w:cs="Arial"/>
          <w:lang w:eastAsia="es-MX"/>
        </w:rPr>
        <w:t>Gráfica</w:t>
      </w:r>
      <w:r w:rsidR="003F04BE" w:rsidRPr="003F04BE">
        <w:rPr>
          <w:rFonts w:ascii="Arial" w:hAnsi="Arial" w:cs="Arial"/>
          <w:lang w:eastAsia="es-MX"/>
        </w:rPr>
        <w:t xml:space="preserve"> 7</w:t>
      </w:r>
      <w:r>
        <w:rPr>
          <w:rFonts w:ascii="Arial" w:hAnsi="Arial" w:cs="Arial"/>
          <w:lang w:eastAsia="es-MX"/>
        </w:rPr>
        <w:t xml:space="preserve">) se observa un comportamiento estable de los lugares ofertados de la especialidad, ya que el promedio anual de la disponibilidad es de 825 plazas ofertadas. Además, desde 2015, tras un descenso de los lugares disponibles, se observa un ligero incremento en estos, de tal forma que en los últimos tres años se reporta un incremento promedio de 1.6% anual. Aunque la demanda neta de la especialidad en Neonatología no está disponible, y la oferta de lugares depende de la operación de los </w:t>
      </w:r>
      <w:r w:rsidR="003F04BE">
        <w:rPr>
          <w:rFonts w:ascii="Arial" w:hAnsi="Arial" w:cs="Arial"/>
          <w:lang w:eastAsia="es-MX"/>
        </w:rPr>
        <w:t>hospitales, se</w:t>
      </w:r>
      <w:r w:rsidRPr="00CA3A18">
        <w:rPr>
          <w:rFonts w:ascii="Arial" w:hAnsi="Arial" w:cs="Arial"/>
          <w:lang w:eastAsia="es-MX"/>
        </w:rPr>
        <w:t xml:space="preserve"> asume que los lugares ofertados para la especialidad se ocupan al 100%, ya que el número de sustentantes</w:t>
      </w:r>
      <w:r>
        <w:rPr>
          <w:rFonts w:ascii="Arial" w:hAnsi="Arial" w:cs="Arial"/>
          <w:lang w:eastAsia="es-MX"/>
        </w:rPr>
        <w:t xml:space="preserve"> –visto como un todo–</w:t>
      </w:r>
      <w:r w:rsidRPr="00CA3A18">
        <w:rPr>
          <w:rFonts w:ascii="Arial" w:hAnsi="Arial" w:cs="Arial"/>
          <w:lang w:eastAsia="es-MX"/>
        </w:rPr>
        <w:t xml:space="preserve"> es 4.5 veces mayor a lo ofertado</w:t>
      </w:r>
      <w:r>
        <w:rPr>
          <w:rFonts w:ascii="Arial" w:hAnsi="Arial" w:cs="Arial"/>
          <w:lang w:eastAsia="es-MX"/>
        </w:rPr>
        <w:t xml:space="preserve">; por ejemplo, en el caso de Pediatría, sólo 1 sustentante de 6 tiene lugar en la especialidad. </w:t>
      </w:r>
    </w:p>
    <w:p w14:paraId="7931C15C" w14:textId="77777777" w:rsidR="00F57F52" w:rsidRDefault="00F57F52" w:rsidP="00F57F52">
      <w:pPr>
        <w:spacing w:line="360" w:lineRule="auto"/>
        <w:jc w:val="both"/>
        <w:rPr>
          <w:rFonts w:ascii="Arial" w:hAnsi="Arial" w:cs="Arial"/>
          <w:lang w:eastAsia="es-MX"/>
        </w:rPr>
      </w:pPr>
      <w:r>
        <w:rPr>
          <w:rFonts w:ascii="Arial" w:hAnsi="Arial" w:cs="Arial"/>
          <w:lang w:eastAsia="es-MX"/>
        </w:rPr>
        <w:lastRenderedPageBreak/>
        <w:t>Por otro lado, se construyó la serie de primer ingreso a la especialidad en Neonatología con estadísticas propias de la Universidad La Salle en el período 2012-2018; esta variable puede representar una cota mínima de la demanda de la especialidad. Al respecto, se observa un proceso estable en el comportamiento de la variable, en otras palabras, el primer ingreso, o bien, la cota mínima de demanda anual varía alrededor de 9 estudiantes por año. No obstante, los lugares ofertados para las especialidades “</w:t>
      </w:r>
      <w:r w:rsidRPr="00594786">
        <w:rPr>
          <w:rFonts w:ascii="Arial" w:hAnsi="Arial" w:cs="Arial"/>
          <w:i/>
          <w:lang w:eastAsia="es-MX"/>
        </w:rPr>
        <w:t>no obedecen a una proyección prospectiva y organizada, sino más bien a tendencias inerciales o a carencias en ciertas áreas que se pretenden remediar con aumentos inmediatos en el número de ellas</w:t>
      </w:r>
      <w:r>
        <w:rPr>
          <w:rFonts w:ascii="Arial" w:hAnsi="Arial" w:cs="Arial"/>
          <w:i/>
          <w:lang w:eastAsia="es-MX"/>
        </w:rPr>
        <w:t>” (p. XIV)</w:t>
      </w:r>
      <w:r>
        <w:rPr>
          <w:rStyle w:val="Refdenotaalpie"/>
          <w:rFonts w:ascii="Arial" w:hAnsi="Arial" w:cs="Arial"/>
          <w:lang w:eastAsia="es-MX"/>
        </w:rPr>
        <w:footnoteReference w:id="84"/>
      </w:r>
      <w:r>
        <w:rPr>
          <w:rFonts w:ascii="Arial" w:hAnsi="Arial" w:cs="Arial"/>
          <w:i/>
          <w:lang w:eastAsia="es-MX"/>
        </w:rPr>
        <w:t>.</w:t>
      </w:r>
    </w:p>
    <w:p w14:paraId="04D3DB9D" w14:textId="6982A7F7" w:rsidR="00F57F52" w:rsidRPr="000E4FBB" w:rsidRDefault="00F57F52" w:rsidP="00F57F52">
      <w:pPr>
        <w:spacing w:line="360" w:lineRule="auto"/>
        <w:jc w:val="center"/>
        <w:rPr>
          <w:rFonts w:ascii="Arial" w:hAnsi="Arial" w:cs="Arial"/>
          <w:b/>
          <w:lang w:eastAsia="es-MX"/>
        </w:rPr>
      </w:pPr>
      <w:r w:rsidRPr="003F04BE">
        <w:rPr>
          <w:rFonts w:ascii="Arial" w:hAnsi="Arial" w:cs="Arial"/>
          <w:b/>
          <w:lang w:eastAsia="es-MX"/>
        </w:rPr>
        <w:t>Gráfica</w:t>
      </w:r>
      <w:r w:rsidR="003F04BE">
        <w:rPr>
          <w:rFonts w:ascii="Arial" w:hAnsi="Arial" w:cs="Arial"/>
          <w:b/>
          <w:lang w:eastAsia="es-MX"/>
        </w:rPr>
        <w:t xml:space="preserve"> 7</w:t>
      </w:r>
      <w:r w:rsidRPr="000E4FBB">
        <w:rPr>
          <w:rFonts w:ascii="Arial" w:hAnsi="Arial" w:cs="Arial"/>
          <w:b/>
          <w:lang w:eastAsia="es-MX"/>
        </w:rPr>
        <w:t xml:space="preserve">. </w:t>
      </w:r>
      <w:r>
        <w:rPr>
          <w:rFonts w:ascii="Arial" w:hAnsi="Arial" w:cs="Arial"/>
          <w:b/>
          <w:lang w:eastAsia="es-MX"/>
        </w:rPr>
        <w:t xml:space="preserve">Matrícula de Primer Ingreso </w:t>
      </w:r>
      <w:r w:rsidRPr="000E4FBB">
        <w:rPr>
          <w:rFonts w:ascii="Arial" w:hAnsi="Arial" w:cs="Arial"/>
          <w:b/>
          <w:lang w:eastAsia="es-MX"/>
        </w:rPr>
        <w:t xml:space="preserve">en la especialidad de </w:t>
      </w:r>
      <w:r>
        <w:rPr>
          <w:rFonts w:ascii="Arial" w:hAnsi="Arial" w:cs="Arial"/>
          <w:b/>
          <w:lang w:eastAsia="es-MX"/>
        </w:rPr>
        <w:t>Neonatología de la Universidad La Salle</w:t>
      </w:r>
      <w:r w:rsidRPr="000E4FBB">
        <w:rPr>
          <w:rFonts w:ascii="Arial" w:hAnsi="Arial" w:cs="Arial"/>
          <w:b/>
          <w:lang w:eastAsia="es-MX"/>
        </w:rPr>
        <w:t>, 2012-2018.</w:t>
      </w:r>
    </w:p>
    <w:p w14:paraId="4E9CCCCF" w14:textId="77777777" w:rsidR="00F57F52" w:rsidRDefault="00F57F52" w:rsidP="00F57F52">
      <w:pPr>
        <w:spacing w:after="0" w:line="360" w:lineRule="auto"/>
        <w:jc w:val="center"/>
        <w:rPr>
          <w:rFonts w:ascii="Arial" w:hAnsi="Arial" w:cs="Arial"/>
          <w:lang w:eastAsia="es-MX"/>
        </w:rPr>
      </w:pPr>
      <w:r>
        <w:rPr>
          <w:noProof/>
          <w:lang w:eastAsia="es-MX"/>
        </w:rPr>
        <w:drawing>
          <wp:inline distT="0" distB="0" distL="0" distR="0" wp14:anchorId="40F06BC1" wp14:editId="6262A10E">
            <wp:extent cx="4572000" cy="2743200"/>
            <wp:effectExtent l="0" t="0" r="0" b="0"/>
            <wp:docPr id="21" name="Gráfico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7069F292" w14:textId="77777777" w:rsidR="00F57F52" w:rsidRDefault="00F57F52" w:rsidP="00F57F52">
      <w:pPr>
        <w:spacing w:after="0" w:line="360" w:lineRule="auto"/>
        <w:jc w:val="center"/>
        <w:rPr>
          <w:rFonts w:ascii="Arial" w:hAnsi="Arial" w:cs="Arial"/>
          <w:lang w:eastAsia="es-MX"/>
        </w:rPr>
      </w:pPr>
      <w:r w:rsidRPr="00CA0DD2">
        <w:rPr>
          <w:rFonts w:ascii="Arial" w:hAnsi="Arial" w:cs="Arial"/>
          <w:b/>
          <w:sz w:val="18"/>
          <w:lang w:eastAsia="es-MX"/>
        </w:rPr>
        <w:t>Fuente:</w:t>
      </w:r>
      <w:r>
        <w:rPr>
          <w:rFonts w:ascii="Arial" w:hAnsi="Arial" w:cs="Arial"/>
          <w:sz w:val="18"/>
          <w:lang w:eastAsia="es-MX"/>
        </w:rPr>
        <w:t xml:space="preserve"> Elaboración propia con base en estadísticas de la Universidad La Salle (s.f.).</w:t>
      </w:r>
    </w:p>
    <w:p w14:paraId="2B8BAEEC" w14:textId="77777777" w:rsidR="00F57F52" w:rsidRDefault="00F57F52" w:rsidP="00F57F52">
      <w:pPr>
        <w:spacing w:line="360" w:lineRule="auto"/>
        <w:jc w:val="both"/>
        <w:rPr>
          <w:rFonts w:ascii="Arial" w:hAnsi="Arial" w:cs="Arial"/>
          <w:lang w:eastAsia="es-MX"/>
        </w:rPr>
      </w:pPr>
    </w:p>
    <w:p w14:paraId="28C24C28" w14:textId="77777777" w:rsidR="00F57F52" w:rsidRDefault="00F57F52" w:rsidP="00F57F52">
      <w:pPr>
        <w:spacing w:line="360" w:lineRule="auto"/>
        <w:jc w:val="both"/>
        <w:rPr>
          <w:rFonts w:ascii="Arial" w:hAnsi="Arial" w:cs="Arial"/>
          <w:lang w:eastAsia="es-MX"/>
        </w:rPr>
      </w:pPr>
      <w:r>
        <w:rPr>
          <w:rFonts w:ascii="Arial" w:hAnsi="Arial" w:cs="Arial"/>
          <w:lang w:eastAsia="es-MX"/>
        </w:rPr>
        <w:t>Finalmente, como se mencionó, la elección de una especialidad médica está influenciada por diversos factores, de tal forma que la demanda por ésta es un proceso dinámico, complejo y multifactorial</w:t>
      </w:r>
      <w:r>
        <w:rPr>
          <w:rStyle w:val="Refdenotaalpie"/>
          <w:rFonts w:ascii="Arial" w:hAnsi="Arial" w:cs="Arial"/>
          <w:lang w:eastAsia="es-MX"/>
        </w:rPr>
        <w:footnoteReference w:id="85"/>
      </w:r>
      <w:r>
        <w:rPr>
          <w:rFonts w:ascii="Arial" w:hAnsi="Arial" w:cs="Arial"/>
          <w:lang w:eastAsia="es-MX"/>
        </w:rPr>
        <w:t xml:space="preserve">. No obstante, la brecha entre la demanda y oferta de plazas es muy amplia, y de continuar la tendencia a la alza el número de sustentantes al ENARM y una oferta que no obedecen a proyecciones prospectivas, el desequilibrio entre demanda y </w:t>
      </w:r>
      <w:r>
        <w:rPr>
          <w:rFonts w:ascii="Arial" w:hAnsi="Arial" w:cs="Arial"/>
          <w:lang w:eastAsia="es-MX"/>
        </w:rPr>
        <w:lastRenderedPageBreak/>
        <w:t>oferta será incluso mucho mayor en los próximos años, y en consecuencia, existirá una mayor reserva de médicos generales que potencialmente buscarán formarse en programas de especialidad, así como problemas en el ritmo de producción y disponibilidad de médicos especialistas</w:t>
      </w:r>
      <w:r>
        <w:rPr>
          <w:rStyle w:val="Refdenotaalpie"/>
          <w:rFonts w:ascii="Arial" w:hAnsi="Arial" w:cs="Arial"/>
          <w:lang w:eastAsia="es-MX"/>
        </w:rPr>
        <w:footnoteReference w:id="86"/>
      </w:r>
      <w:r>
        <w:rPr>
          <w:rFonts w:ascii="Arial" w:hAnsi="Arial" w:cs="Arial"/>
          <w:lang w:eastAsia="es-MX"/>
        </w:rPr>
        <w:t>. La demanda–y la oferta– de las especialidades médicas deberán de vincular tanto una demanda social por la educación de calidad, como las necesidades de salud (perfil epidemiológico, modelo de atención, etcétera) y el perfil demográfico del país.</w:t>
      </w:r>
    </w:p>
    <w:p w14:paraId="6EACF94D" w14:textId="0CC2224A" w:rsidR="005B44CA" w:rsidRPr="00E77384" w:rsidRDefault="005B44CA" w:rsidP="005B44CA">
      <w:pPr>
        <w:spacing w:after="120" w:line="360" w:lineRule="auto"/>
        <w:ind w:right="-79"/>
        <w:jc w:val="both"/>
        <w:rPr>
          <w:rFonts w:ascii="Arial" w:eastAsiaTheme="majorEastAsia" w:hAnsi="Arial" w:cs="Arial"/>
          <w:b/>
          <w:lang w:bidi="en-US"/>
        </w:rPr>
      </w:pPr>
      <w:r w:rsidRPr="00E77384">
        <w:rPr>
          <w:rFonts w:ascii="Arial" w:eastAsiaTheme="majorEastAsia" w:hAnsi="Arial" w:cs="Arial"/>
          <w:b/>
          <w:lang w:bidi="en-US"/>
        </w:rPr>
        <w:t xml:space="preserve">V. MERCADO LABORAL </w:t>
      </w:r>
    </w:p>
    <w:p w14:paraId="7CE4E792" w14:textId="3B85E140" w:rsidR="005B44CA" w:rsidRDefault="005B44CA" w:rsidP="005B44CA">
      <w:pPr>
        <w:spacing w:line="360" w:lineRule="auto"/>
        <w:jc w:val="both"/>
        <w:rPr>
          <w:rFonts w:ascii="Arial" w:hAnsi="Arial" w:cs="Arial"/>
        </w:rPr>
      </w:pPr>
      <w:r>
        <w:rPr>
          <w:rFonts w:ascii="Arial" w:hAnsi="Arial" w:cs="Arial"/>
        </w:rPr>
        <w:t>En México, como se ha mencionado antes, la proporción de médicos especialistas es significativamente mayor a la de los médicos generales (63% y 30%, respectivamente). Específicamente, en el año 2017 había 147,910 médicos especialistas ejerciendo su profesión, de los cuales, en promedio, 69% contaban con una certificación vigente por los consejos médicos de sus respectivas especialidades. Adicionalmente, estimaciones de SSA e INEGI indican que en el sector público hay laborando alrededor de 75% de los médicos especialistas en el país</w:t>
      </w:r>
      <w:r>
        <w:rPr>
          <w:rStyle w:val="Refdenotaalpie"/>
          <w:rFonts w:ascii="Arial" w:hAnsi="Arial" w:cs="Arial"/>
        </w:rPr>
        <w:footnoteReference w:id="87"/>
      </w:r>
      <w:r w:rsidR="00384206">
        <w:rPr>
          <w:rFonts w:ascii="Arial" w:hAnsi="Arial" w:cs="Arial"/>
        </w:rPr>
        <w:t>, en cambio, en el sector privad</w:t>
      </w:r>
      <w:r>
        <w:rPr>
          <w:rFonts w:ascii="Arial" w:hAnsi="Arial" w:cs="Arial"/>
        </w:rPr>
        <w:t>o se estima una proporción de 48%</w:t>
      </w:r>
      <w:r>
        <w:rPr>
          <w:rStyle w:val="Refdenotaalpie"/>
          <w:rFonts w:ascii="Arial" w:hAnsi="Arial" w:cs="Arial"/>
        </w:rPr>
        <w:footnoteReference w:id="88"/>
      </w:r>
      <w:r>
        <w:rPr>
          <w:rFonts w:ascii="Arial" w:hAnsi="Arial" w:cs="Arial"/>
        </w:rPr>
        <w:t>; al respecto, es importante destacar nuevamente que alrededor del 30% de los médicos especialistas trabajan tanto en el sector público como privado</w:t>
      </w:r>
      <w:r>
        <w:rPr>
          <w:rStyle w:val="Refdenotaalpie"/>
          <w:rFonts w:ascii="Arial" w:hAnsi="Arial" w:cs="Arial"/>
        </w:rPr>
        <w:footnoteReference w:id="89"/>
      </w:r>
      <w:r>
        <w:rPr>
          <w:rFonts w:ascii="Arial" w:hAnsi="Arial" w:cs="Arial"/>
        </w:rPr>
        <w:t xml:space="preserve">. </w:t>
      </w:r>
    </w:p>
    <w:p w14:paraId="7494BBC1" w14:textId="77777777" w:rsidR="005B44CA" w:rsidRDefault="005B44CA" w:rsidP="005B44CA">
      <w:pPr>
        <w:spacing w:line="360" w:lineRule="auto"/>
        <w:jc w:val="both"/>
        <w:rPr>
          <w:rFonts w:ascii="Arial" w:hAnsi="Arial" w:cs="Arial"/>
        </w:rPr>
      </w:pPr>
      <w:r>
        <w:rPr>
          <w:rFonts w:ascii="Arial" w:hAnsi="Arial" w:cs="Arial"/>
        </w:rPr>
        <w:t>Respecto a la distribución geográfica de los especialistas, tan sólo la Ciudad de México aglomera 30.1% de los especialistas a nivel nacional, le siguen Jalisco, el Estado de México y Nuevo León con 9.4%, 8.1% y 6.6%, respectivamente</w:t>
      </w:r>
      <w:r>
        <w:rPr>
          <w:rStyle w:val="Refdenotaalpie"/>
          <w:rFonts w:ascii="Arial" w:hAnsi="Arial" w:cs="Arial"/>
        </w:rPr>
        <w:footnoteReference w:id="90"/>
      </w:r>
      <w:r>
        <w:rPr>
          <w:rFonts w:ascii="Arial" w:hAnsi="Arial" w:cs="Arial"/>
        </w:rPr>
        <w:t xml:space="preserve">. Estas cuatro entidades, donde se constituyen las primeras metrópolis del país, aglomeran un poco más de la mitad de los especialistas, lo cual da cuenta de un desequilibrio en la oferta de los especialistas médicos en el país, la cual no necesariamente se distribuye según las demandas demográficas y epidemiológicas. En contraste, Baja California Sur, Colima y Tlaxcala son las entidades con menor frecuencia, absoluta y relativa, de estos profesionistas (cada estado aglomera 0.5% de los especialistas a nivel nacional). Respecto a la relación de médicos especialistas y volumen poblacional, la Ciudad de México permanece significativamente como la entidad de mayor preponderancia al existir 505.7 especialistas por cada 100,000 habitantes, muy por debajo están Nuevo León, Jalisco y Yucatán con tasas de 185.3, 172 y 135 médicos </w:t>
      </w:r>
      <w:r>
        <w:rPr>
          <w:rFonts w:ascii="Arial" w:hAnsi="Arial" w:cs="Arial"/>
        </w:rPr>
        <w:lastRenderedPageBreak/>
        <w:t>especialistas por cada 100,000 habitantes; en contraparte, Tlaxcala (51.7), Guerrero (39.2) y Chiapas (35.9) son las entidades con menor tasa de médicos especialistas en México</w:t>
      </w:r>
      <w:r>
        <w:rPr>
          <w:rStyle w:val="Refdenotaalpie"/>
          <w:rFonts w:ascii="Arial" w:hAnsi="Arial" w:cs="Arial"/>
        </w:rPr>
        <w:footnoteReference w:id="91"/>
      </w:r>
      <w:r>
        <w:rPr>
          <w:rFonts w:ascii="Arial" w:hAnsi="Arial" w:cs="Arial"/>
        </w:rPr>
        <w:t>.</w:t>
      </w:r>
    </w:p>
    <w:p w14:paraId="08F3D4BA" w14:textId="0B358341" w:rsidR="005B44CA" w:rsidRPr="0019648E" w:rsidRDefault="005B44CA" w:rsidP="003F04BE">
      <w:pPr>
        <w:spacing w:after="0" w:line="240" w:lineRule="auto"/>
        <w:jc w:val="center"/>
        <w:rPr>
          <w:rFonts w:ascii="Arial" w:hAnsi="Arial" w:cs="Arial"/>
          <w:b/>
          <w:spacing w:val="-4"/>
        </w:rPr>
      </w:pPr>
      <w:r w:rsidRPr="0019648E">
        <w:rPr>
          <w:rFonts w:ascii="Arial" w:hAnsi="Arial" w:cs="Arial"/>
          <w:b/>
          <w:spacing w:val="-4"/>
        </w:rPr>
        <w:t>Cuadro</w:t>
      </w:r>
      <w:r w:rsidR="001472B8" w:rsidRPr="0019648E">
        <w:rPr>
          <w:rFonts w:ascii="Arial" w:hAnsi="Arial" w:cs="Arial"/>
          <w:b/>
          <w:spacing w:val="-4"/>
        </w:rPr>
        <w:t xml:space="preserve"> </w:t>
      </w:r>
      <w:r w:rsidR="003F04BE">
        <w:rPr>
          <w:rFonts w:ascii="Arial" w:hAnsi="Arial" w:cs="Arial"/>
          <w:b/>
          <w:spacing w:val="-4"/>
        </w:rPr>
        <w:t>5</w:t>
      </w:r>
      <w:r w:rsidRPr="0019648E">
        <w:rPr>
          <w:rFonts w:ascii="Arial" w:hAnsi="Arial" w:cs="Arial"/>
          <w:b/>
          <w:spacing w:val="-4"/>
        </w:rPr>
        <w:t>. Distribución de los especialistas médicos en México según entidad, 2017.</w:t>
      </w:r>
    </w:p>
    <w:tbl>
      <w:tblPr>
        <w:tblW w:w="4280" w:type="dxa"/>
        <w:jc w:val="center"/>
        <w:tblCellMar>
          <w:left w:w="70" w:type="dxa"/>
          <w:right w:w="70" w:type="dxa"/>
        </w:tblCellMar>
        <w:tblLook w:val="04A0" w:firstRow="1" w:lastRow="0" w:firstColumn="1" w:lastColumn="0" w:noHBand="0" w:noVBand="1"/>
      </w:tblPr>
      <w:tblGrid>
        <w:gridCol w:w="1700"/>
        <w:gridCol w:w="1386"/>
        <w:gridCol w:w="1200"/>
      </w:tblGrid>
      <w:tr w:rsidR="005B44CA" w:rsidRPr="003F04BE" w14:paraId="734A3A8E" w14:textId="77777777" w:rsidTr="0019648E">
        <w:trPr>
          <w:trHeight w:val="600"/>
          <w:jc w:val="center"/>
        </w:trPr>
        <w:tc>
          <w:tcPr>
            <w:tcW w:w="1700" w:type="dxa"/>
            <w:tcBorders>
              <w:top w:val="single" w:sz="4" w:space="0" w:color="auto"/>
              <w:left w:val="single" w:sz="4" w:space="0" w:color="auto"/>
              <w:bottom w:val="single" w:sz="4" w:space="0" w:color="auto"/>
              <w:right w:val="single" w:sz="4" w:space="0" w:color="auto"/>
            </w:tcBorders>
            <w:shd w:val="clear" w:color="auto" w:fill="5B9BD5" w:themeFill="accent1"/>
            <w:vAlign w:val="center"/>
            <w:hideMark/>
          </w:tcPr>
          <w:p w14:paraId="0D348F8F" w14:textId="77777777" w:rsidR="005B44CA" w:rsidRPr="003F04BE" w:rsidRDefault="005B44CA" w:rsidP="005B44CA">
            <w:pPr>
              <w:spacing w:after="0" w:line="240" w:lineRule="auto"/>
              <w:jc w:val="center"/>
              <w:rPr>
                <w:rFonts w:ascii="Arial" w:eastAsia="Times New Roman" w:hAnsi="Arial" w:cs="Arial"/>
                <w:b/>
                <w:bCs/>
                <w:color w:val="000000"/>
                <w:sz w:val="20"/>
                <w:szCs w:val="20"/>
                <w:lang w:eastAsia="es-MX"/>
              </w:rPr>
            </w:pPr>
            <w:r w:rsidRPr="003F04BE">
              <w:rPr>
                <w:rFonts w:ascii="Arial" w:eastAsia="Times New Roman" w:hAnsi="Arial" w:cs="Arial"/>
                <w:b/>
                <w:bCs/>
                <w:color w:val="000000"/>
                <w:sz w:val="20"/>
                <w:szCs w:val="20"/>
                <w:lang w:eastAsia="es-MX"/>
              </w:rPr>
              <w:t>Entidad</w:t>
            </w:r>
          </w:p>
        </w:tc>
        <w:tc>
          <w:tcPr>
            <w:tcW w:w="1380" w:type="dxa"/>
            <w:tcBorders>
              <w:top w:val="single" w:sz="4" w:space="0" w:color="auto"/>
              <w:left w:val="nil"/>
              <w:bottom w:val="single" w:sz="4" w:space="0" w:color="auto"/>
              <w:right w:val="single" w:sz="4" w:space="0" w:color="auto"/>
            </w:tcBorders>
            <w:shd w:val="clear" w:color="auto" w:fill="5B9BD5" w:themeFill="accent1"/>
            <w:vAlign w:val="center"/>
            <w:hideMark/>
          </w:tcPr>
          <w:p w14:paraId="347405F7" w14:textId="77777777" w:rsidR="005B44CA" w:rsidRPr="003F04BE" w:rsidRDefault="005B44CA" w:rsidP="005B44CA">
            <w:pPr>
              <w:spacing w:after="0" w:line="240" w:lineRule="auto"/>
              <w:jc w:val="center"/>
              <w:rPr>
                <w:rFonts w:ascii="Arial" w:eastAsia="Times New Roman" w:hAnsi="Arial" w:cs="Arial"/>
                <w:b/>
                <w:bCs/>
                <w:color w:val="000000"/>
                <w:sz w:val="20"/>
                <w:szCs w:val="20"/>
                <w:lang w:eastAsia="es-MX"/>
              </w:rPr>
            </w:pPr>
            <w:r w:rsidRPr="003F04BE">
              <w:rPr>
                <w:rFonts w:ascii="Arial" w:eastAsia="Times New Roman" w:hAnsi="Arial" w:cs="Arial"/>
                <w:b/>
                <w:bCs/>
                <w:color w:val="000000"/>
                <w:sz w:val="20"/>
                <w:szCs w:val="20"/>
                <w:lang w:eastAsia="es-MX"/>
              </w:rPr>
              <w:t>Médicos especialistas</w:t>
            </w:r>
          </w:p>
        </w:tc>
        <w:tc>
          <w:tcPr>
            <w:tcW w:w="1200" w:type="dxa"/>
            <w:tcBorders>
              <w:top w:val="single" w:sz="4" w:space="0" w:color="auto"/>
              <w:left w:val="nil"/>
              <w:bottom w:val="single" w:sz="4" w:space="0" w:color="auto"/>
              <w:right w:val="single" w:sz="4" w:space="0" w:color="auto"/>
            </w:tcBorders>
            <w:shd w:val="clear" w:color="auto" w:fill="5B9BD5" w:themeFill="accent1"/>
            <w:vAlign w:val="center"/>
            <w:hideMark/>
          </w:tcPr>
          <w:p w14:paraId="6215A43A" w14:textId="77777777" w:rsidR="005B44CA" w:rsidRPr="003F04BE" w:rsidRDefault="005B44CA" w:rsidP="005B44CA">
            <w:pPr>
              <w:spacing w:after="0" w:line="240" w:lineRule="auto"/>
              <w:jc w:val="center"/>
              <w:rPr>
                <w:rFonts w:ascii="Arial" w:eastAsia="Times New Roman" w:hAnsi="Arial" w:cs="Arial"/>
                <w:b/>
                <w:bCs/>
                <w:color w:val="000000"/>
                <w:sz w:val="20"/>
                <w:szCs w:val="20"/>
                <w:lang w:eastAsia="es-MX"/>
              </w:rPr>
            </w:pPr>
            <w:r w:rsidRPr="003F04BE">
              <w:rPr>
                <w:rFonts w:ascii="Arial" w:eastAsia="Times New Roman" w:hAnsi="Arial" w:cs="Arial"/>
                <w:b/>
                <w:bCs/>
                <w:color w:val="000000"/>
                <w:sz w:val="20"/>
                <w:szCs w:val="20"/>
                <w:lang w:eastAsia="es-MX"/>
              </w:rPr>
              <w:t>Tasa</w:t>
            </w:r>
          </w:p>
        </w:tc>
      </w:tr>
      <w:tr w:rsidR="005B44CA" w:rsidRPr="003F04BE" w14:paraId="380439F9" w14:textId="77777777" w:rsidTr="005B44CA">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14:paraId="01B55299" w14:textId="77777777" w:rsidR="005B44CA" w:rsidRPr="003F04BE" w:rsidRDefault="005B44CA" w:rsidP="005B44CA">
            <w:pPr>
              <w:spacing w:after="0" w:line="240" w:lineRule="auto"/>
              <w:jc w:val="center"/>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Ciudad de México</w:t>
            </w:r>
          </w:p>
        </w:tc>
        <w:tc>
          <w:tcPr>
            <w:tcW w:w="1380" w:type="dxa"/>
            <w:tcBorders>
              <w:top w:val="nil"/>
              <w:left w:val="nil"/>
              <w:bottom w:val="single" w:sz="4" w:space="0" w:color="auto"/>
              <w:right w:val="single" w:sz="4" w:space="0" w:color="auto"/>
            </w:tcBorders>
            <w:shd w:val="clear" w:color="auto" w:fill="auto"/>
            <w:noWrap/>
            <w:vAlign w:val="bottom"/>
            <w:hideMark/>
          </w:tcPr>
          <w:p w14:paraId="242E788C"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44562</w:t>
            </w:r>
          </w:p>
        </w:tc>
        <w:tc>
          <w:tcPr>
            <w:tcW w:w="1200" w:type="dxa"/>
            <w:tcBorders>
              <w:top w:val="nil"/>
              <w:left w:val="nil"/>
              <w:bottom w:val="single" w:sz="4" w:space="0" w:color="auto"/>
              <w:right w:val="single" w:sz="4" w:space="0" w:color="auto"/>
            </w:tcBorders>
            <w:shd w:val="clear" w:color="auto" w:fill="auto"/>
            <w:noWrap/>
            <w:vAlign w:val="bottom"/>
            <w:hideMark/>
          </w:tcPr>
          <w:p w14:paraId="25D358D9"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505.7</w:t>
            </w:r>
          </w:p>
        </w:tc>
      </w:tr>
      <w:tr w:rsidR="005B44CA" w:rsidRPr="003F04BE" w14:paraId="7B9C0ECB" w14:textId="77777777" w:rsidTr="005B44CA">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14:paraId="1530E7B1" w14:textId="77777777" w:rsidR="005B44CA" w:rsidRPr="003F04BE" w:rsidRDefault="005B44CA" w:rsidP="005B44CA">
            <w:pPr>
              <w:spacing w:after="0" w:line="240" w:lineRule="auto"/>
              <w:jc w:val="center"/>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Nuevo León</w:t>
            </w:r>
          </w:p>
        </w:tc>
        <w:tc>
          <w:tcPr>
            <w:tcW w:w="1380" w:type="dxa"/>
            <w:tcBorders>
              <w:top w:val="nil"/>
              <w:left w:val="nil"/>
              <w:bottom w:val="single" w:sz="4" w:space="0" w:color="auto"/>
              <w:right w:val="single" w:sz="4" w:space="0" w:color="auto"/>
            </w:tcBorders>
            <w:shd w:val="clear" w:color="auto" w:fill="auto"/>
            <w:noWrap/>
            <w:vAlign w:val="bottom"/>
            <w:hideMark/>
          </w:tcPr>
          <w:p w14:paraId="103529CD"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9689</w:t>
            </w:r>
          </w:p>
        </w:tc>
        <w:tc>
          <w:tcPr>
            <w:tcW w:w="1200" w:type="dxa"/>
            <w:tcBorders>
              <w:top w:val="nil"/>
              <w:left w:val="nil"/>
              <w:bottom w:val="single" w:sz="4" w:space="0" w:color="auto"/>
              <w:right w:val="single" w:sz="4" w:space="0" w:color="auto"/>
            </w:tcBorders>
            <w:shd w:val="clear" w:color="auto" w:fill="auto"/>
            <w:noWrap/>
            <w:vAlign w:val="bottom"/>
            <w:hideMark/>
          </w:tcPr>
          <w:p w14:paraId="62914F4C"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185.3</w:t>
            </w:r>
          </w:p>
        </w:tc>
      </w:tr>
      <w:tr w:rsidR="005B44CA" w:rsidRPr="003F04BE" w14:paraId="42FD03EB" w14:textId="77777777" w:rsidTr="005B44CA">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14:paraId="2CF06913" w14:textId="77777777" w:rsidR="005B44CA" w:rsidRPr="003F04BE" w:rsidRDefault="005B44CA" w:rsidP="005B44CA">
            <w:pPr>
              <w:spacing w:after="0" w:line="240" w:lineRule="auto"/>
              <w:jc w:val="center"/>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Jalisco</w:t>
            </w:r>
          </w:p>
        </w:tc>
        <w:tc>
          <w:tcPr>
            <w:tcW w:w="1380" w:type="dxa"/>
            <w:tcBorders>
              <w:top w:val="nil"/>
              <w:left w:val="nil"/>
              <w:bottom w:val="single" w:sz="4" w:space="0" w:color="auto"/>
              <w:right w:val="single" w:sz="4" w:space="0" w:color="auto"/>
            </w:tcBorders>
            <w:shd w:val="clear" w:color="auto" w:fill="auto"/>
            <w:noWrap/>
            <w:vAlign w:val="bottom"/>
            <w:hideMark/>
          </w:tcPr>
          <w:p w14:paraId="1DFBC3F6"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13950</w:t>
            </w:r>
          </w:p>
        </w:tc>
        <w:tc>
          <w:tcPr>
            <w:tcW w:w="1200" w:type="dxa"/>
            <w:tcBorders>
              <w:top w:val="nil"/>
              <w:left w:val="nil"/>
              <w:bottom w:val="single" w:sz="4" w:space="0" w:color="auto"/>
              <w:right w:val="single" w:sz="4" w:space="0" w:color="auto"/>
            </w:tcBorders>
            <w:shd w:val="clear" w:color="auto" w:fill="auto"/>
            <w:noWrap/>
            <w:vAlign w:val="bottom"/>
            <w:hideMark/>
          </w:tcPr>
          <w:p w14:paraId="5E9987D6"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172.0</w:t>
            </w:r>
          </w:p>
        </w:tc>
      </w:tr>
      <w:tr w:rsidR="005B44CA" w:rsidRPr="003F04BE" w14:paraId="490830E5" w14:textId="77777777" w:rsidTr="005B44CA">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14:paraId="7F8C2CC7" w14:textId="77777777" w:rsidR="005B44CA" w:rsidRPr="003F04BE" w:rsidRDefault="005B44CA" w:rsidP="005B44CA">
            <w:pPr>
              <w:spacing w:after="0" w:line="240" w:lineRule="auto"/>
              <w:jc w:val="center"/>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Yucatán</w:t>
            </w:r>
          </w:p>
        </w:tc>
        <w:tc>
          <w:tcPr>
            <w:tcW w:w="1380" w:type="dxa"/>
            <w:tcBorders>
              <w:top w:val="nil"/>
              <w:left w:val="nil"/>
              <w:bottom w:val="single" w:sz="4" w:space="0" w:color="auto"/>
              <w:right w:val="single" w:sz="4" w:space="0" w:color="auto"/>
            </w:tcBorders>
            <w:shd w:val="clear" w:color="auto" w:fill="auto"/>
            <w:noWrap/>
            <w:vAlign w:val="bottom"/>
            <w:hideMark/>
          </w:tcPr>
          <w:p w14:paraId="3F9EC967"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2934</w:t>
            </w:r>
          </w:p>
        </w:tc>
        <w:tc>
          <w:tcPr>
            <w:tcW w:w="1200" w:type="dxa"/>
            <w:tcBorders>
              <w:top w:val="nil"/>
              <w:left w:val="nil"/>
              <w:bottom w:val="single" w:sz="4" w:space="0" w:color="auto"/>
              <w:right w:val="single" w:sz="4" w:space="0" w:color="auto"/>
            </w:tcBorders>
            <w:shd w:val="clear" w:color="auto" w:fill="auto"/>
            <w:noWrap/>
            <w:vAlign w:val="bottom"/>
            <w:hideMark/>
          </w:tcPr>
          <w:p w14:paraId="49A138AD"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135.0</w:t>
            </w:r>
          </w:p>
        </w:tc>
      </w:tr>
      <w:tr w:rsidR="005B44CA" w:rsidRPr="003F04BE" w14:paraId="7CFA9B0C" w14:textId="77777777" w:rsidTr="005B44CA">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14:paraId="5A48982F" w14:textId="77777777" w:rsidR="005B44CA" w:rsidRPr="003F04BE" w:rsidRDefault="005B44CA" w:rsidP="005B44CA">
            <w:pPr>
              <w:spacing w:after="0" w:line="240" w:lineRule="auto"/>
              <w:jc w:val="center"/>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Querétaro</w:t>
            </w:r>
          </w:p>
        </w:tc>
        <w:tc>
          <w:tcPr>
            <w:tcW w:w="1380" w:type="dxa"/>
            <w:tcBorders>
              <w:top w:val="nil"/>
              <w:left w:val="nil"/>
              <w:bottom w:val="single" w:sz="4" w:space="0" w:color="auto"/>
              <w:right w:val="single" w:sz="4" w:space="0" w:color="auto"/>
            </w:tcBorders>
            <w:shd w:val="clear" w:color="auto" w:fill="auto"/>
            <w:noWrap/>
            <w:vAlign w:val="bottom"/>
            <w:hideMark/>
          </w:tcPr>
          <w:p w14:paraId="2E03187E"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2449</w:t>
            </w:r>
          </w:p>
        </w:tc>
        <w:tc>
          <w:tcPr>
            <w:tcW w:w="1200" w:type="dxa"/>
            <w:tcBorders>
              <w:top w:val="nil"/>
              <w:left w:val="nil"/>
              <w:bottom w:val="single" w:sz="4" w:space="0" w:color="auto"/>
              <w:right w:val="single" w:sz="4" w:space="0" w:color="auto"/>
            </w:tcBorders>
            <w:shd w:val="clear" w:color="auto" w:fill="auto"/>
            <w:noWrap/>
            <w:vAlign w:val="bottom"/>
            <w:hideMark/>
          </w:tcPr>
          <w:p w14:paraId="47CF764F"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118.7</w:t>
            </w:r>
          </w:p>
        </w:tc>
      </w:tr>
      <w:tr w:rsidR="005B44CA" w:rsidRPr="003F04BE" w14:paraId="3FAF1BE0" w14:textId="77777777" w:rsidTr="005B44CA">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14:paraId="351B2035" w14:textId="77777777" w:rsidR="005B44CA" w:rsidRPr="003F04BE" w:rsidRDefault="005B44CA" w:rsidP="005B44CA">
            <w:pPr>
              <w:spacing w:after="0" w:line="240" w:lineRule="auto"/>
              <w:jc w:val="center"/>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San Luis Potosí</w:t>
            </w:r>
          </w:p>
        </w:tc>
        <w:tc>
          <w:tcPr>
            <w:tcW w:w="1380" w:type="dxa"/>
            <w:tcBorders>
              <w:top w:val="nil"/>
              <w:left w:val="nil"/>
              <w:bottom w:val="single" w:sz="4" w:space="0" w:color="auto"/>
              <w:right w:val="single" w:sz="4" w:space="0" w:color="auto"/>
            </w:tcBorders>
            <w:shd w:val="clear" w:color="auto" w:fill="auto"/>
            <w:noWrap/>
            <w:vAlign w:val="bottom"/>
            <w:hideMark/>
          </w:tcPr>
          <w:p w14:paraId="6CAF6D0A"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3191</w:t>
            </w:r>
          </w:p>
        </w:tc>
        <w:tc>
          <w:tcPr>
            <w:tcW w:w="1200" w:type="dxa"/>
            <w:tcBorders>
              <w:top w:val="nil"/>
              <w:left w:val="nil"/>
              <w:bottom w:val="single" w:sz="4" w:space="0" w:color="auto"/>
              <w:right w:val="single" w:sz="4" w:space="0" w:color="auto"/>
            </w:tcBorders>
            <w:shd w:val="clear" w:color="auto" w:fill="auto"/>
            <w:noWrap/>
            <w:vAlign w:val="bottom"/>
            <w:hideMark/>
          </w:tcPr>
          <w:p w14:paraId="20F70608"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113.9</w:t>
            </w:r>
          </w:p>
        </w:tc>
      </w:tr>
      <w:tr w:rsidR="005B44CA" w:rsidRPr="003F04BE" w14:paraId="138B819C" w14:textId="77777777" w:rsidTr="005B44CA">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14:paraId="3BCD3857" w14:textId="77777777" w:rsidR="005B44CA" w:rsidRPr="003F04BE" w:rsidRDefault="005B44CA" w:rsidP="005B44CA">
            <w:pPr>
              <w:spacing w:after="0" w:line="240" w:lineRule="auto"/>
              <w:jc w:val="center"/>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Aguascalientes</w:t>
            </w:r>
          </w:p>
        </w:tc>
        <w:tc>
          <w:tcPr>
            <w:tcW w:w="1380" w:type="dxa"/>
            <w:tcBorders>
              <w:top w:val="nil"/>
              <w:left w:val="nil"/>
              <w:bottom w:val="single" w:sz="4" w:space="0" w:color="auto"/>
              <w:right w:val="single" w:sz="4" w:space="0" w:color="auto"/>
            </w:tcBorders>
            <w:shd w:val="clear" w:color="auto" w:fill="auto"/>
            <w:noWrap/>
            <w:vAlign w:val="bottom"/>
            <w:hideMark/>
          </w:tcPr>
          <w:p w14:paraId="4AF744E3"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1484</w:t>
            </w:r>
          </w:p>
        </w:tc>
        <w:tc>
          <w:tcPr>
            <w:tcW w:w="1200" w:type="dxa"/>
            <w:tcBorders>
              <w:top w:val="nil"/>
              <w:left w:val="nil"/>
              <w:bottom w:val="single" w:sz="4" w:space="0" w:color="auto"/>
              <w:right w:val="single" w:sz="4" w:space="0" w:color="auto"/>
            </w:tcBorders>
            <w:shd w:val="clear" w:color="auto" w:fill="auto"/>
            <w:noWrap/>
            <w:vAlign w:val="bottom"/>
            <w:hideMark/>
          </w:tcPr>
          <w:p w14:paraId="0B1A85CB"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112.3</w:t>
            </w:r>
          </w:p>
        </w:tc>
      </w:tr>
      <w:tr w:rsidR="005B44CA" w:rsidRPr="003F04BE" w14:paraId="2CB509D7" w14:textId="77777777" w:rsidTr="005B44CA">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14:paraId="69F7EE5F" w14:textId="77777777" w:rsidR="005B44CA" w:rsidRPr="003F04BE" w:rsidRDefault="005B44CA" w:rsidP="005B44CA">
            <w:pPr>
              <w:spacing w:after="0" w:line="240" w:lineRule="auto"/>
              <w:jc w:val="center"/>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Baja California</w:t>
            </w:r>
          </w:p>
        </w:tc>
        <w:tc>
          <w:tcPr>
            <w:tcW w:w="1380" w:type="dxa"/>
            <w:tcBorders>
              <w:top w:val="nil"/>
              <w:left w:val="nil"/>
              <w:bottom w:val="single" w:sz="4" w:space="0" w:color="auto"/>
              <w:right w:val="single" w:sz="4" w:space="0" w:color="auto"/>
            </w:tcBorders>
            <w:shd w:val="clear" w:color="auto" w:fill="auto"/>
            <w:noWrap/>
            <w:vAlign w:val="bottom"/>
            <w:hideMark/>
          </w:tcPr>
          <w:p w14:paraId="6780B542"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3692</w:t>
            </w:r>
          </w:p>
        </w:tc>
        <w:tc>
          <w:tcPr>
            <w:tcW w:w="1200" w:type="dxa"/>
            <w:tcBorders>
              <w:top w:val="nil"/>
              <w:left w:val="nil"/>
              <w:bottom w:val="single" w:sz="4" w:space="0" w:color="auto"/>
              <w:right w:val="single" w:sz="4" w:space="0" w:color="auto"/>
            </w:tcBorders>
            <w:shd w:val="clear" w:color="auto" w:fill="auto"/>
            <w:noWrap/>
            <w:vAlign w:val="bottom"/>
            <w:hideMark/>
          </w:tcPr>
          <w:p w14:paraId="4FB6A3C1"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103.0</w:t>
            </w:r>
          </w:p>
        </w:tc>
      </w:tr>
      <w:tr w:rsidR="005B44CA" w:rsidRPr="003F04BE" w14:paraId="5E6DB15E" w14:textId="77777777" w:rsidTr="005B44CA">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14:paraId="38475812" w14:textId="77777777" w:rsidR="005B44CA" w:rsidRPr="003F04BE" w:rsidRDefault="005B44CA" w:rsidP="005B44CA">
            <w:pPr>
              <w:spacing w:after="0" w:line="240" w:lineRule="auto"/>
              <w:jc w:val="center"/>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Sonora</w:t>
            </w:r>
          </w:p>
        </w:tc>
        <w:tc>
          <w:tcPr>
            <w:tcW w:w="1380" w:type="dxa"/>
            <w:tcBorders>
              <w:top w:val="nil"/>
              <w:left w:val="nil"/>
              <w:bottom w:val="single" w:sz="4" w:space="0" w:color="auto"/>
              <w:right w:val="single" w:sz="4" w:space="0" w:color="auto"/>
            </w:tcBorders>
            <w:shd w:val="clear" w:color="auto" w:fill="auto"/>
            <w:noWrap/>
            <w:vAlign w:val="bottom"/>
            <w:hideMark/>
          </w:tcPr>
          <w:p w14:paraId="240A71A6"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2882</w:t>
            </w:r>
          </w:p>
        </w:tc>
        <w:tc>
          <w:tcPr>
            <w:tcW w:w="1200" w:type="dxa"/>
            <w:tcBorders>
              <w:top w:val="nil"/>
              <w:left w:val="nil"/>
              <w:bottom w:val="single" w:sz="4" w:space="0" w:color="auto"/>
              <w:right w:val="single" w:sz="4" w:space="0" w:color="auto"/>
            </w:tcBorders>
            <w:shd w:val="clear" w:color="auto" w:fill="auto"/>
            <w:noWrap/>
            <w:vAlign w:val="bottom"/>
            <w:hideMark/>
          </w:tcPr>
          <w:p w14:paraId="3FB6AF3E"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95.7</w:t>
            </w:r>
          </w:p>
        </w:tc>
      </w:tr>
      <w:tr w:rsidR="005B44CA" w:rsidRPr="003F04BE" w14:paraId="1C8A1F1B" w14:textId="77777777" w:rsidTr="005B44CA">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14:paraId="313A46CE" w14:textId="77777777" w:rsidR="005B44CA" w:rsidRPr="003F04BE" w:rsidRDefault="005B44CA" w:rsidP="005B44CA">
            <w:pPr>
              <w:spacing w:after="0" w:line="240" w:lineRule="auto"/>
              <w:jc w:val="center"/>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Durango</w:t>
            </w:r>
          </w:p>
        </w:tc>
        <w:tc>
          <w:tcPr>
            <w:tcW w:w="1380" w:type="dxa"/>
            <w:tcBorders>
              <w:top w:val="nil"/>
              <w:left w:val="nil"/>
              <w:bottom w:val="single" w:sz="4" w:space="0" w:color="auto"/>
              <w:right w:val="single" w:sz="4" w:space="0" w:color="auto"/>
            </w:tcBorders>
            <w:shd w:val="clear" w:color="auto" w:fill="auto"/>
            <w:noWrap/>
            <w:vAlign w:val="bottom"/>
            <w:hideMark/>
          </w:tcPr>
          <w:p w14:paraId="23BB16A4"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1718</w:t>
            </w:r>
          </w:p>
        </w:tc>
        <w:tc>
          <w:tcPr>
            <w:tcW w:w="1200" w:type="dxa"/>
            <w:tcBorders>
              <w:top w:val="nil"/>
              <w:left w:val="nil"/>
              <w:bottom w:val="single" w:sz="4" w:space="0" w:color="auto"/>
              <w:right w:val="single" w:sz="4" w:space="0" w:color="auto"/>
            </w:tcBorders>
            <w:shd w:val="clear" w:color="auto" w:fill="auto"/>
            <w:noWrap/>
            <w:vAlign w:val="bottom"/>
            <w:hideMark/>
          </w:tcPr>
          <w:p w14:paraId="5B606832"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95.5</w:t>
            </w:r>
          </w:p>
        </w:tc>
      </w:tr>
      <w:tr w:rsidR="005B44CA" w:rsidRPr="003F04BE" w14:paraId="49119E08" w14:textId="77777777" w:rsidTr="005B44CA">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14:paraId="79D81995" w14:textId="77777777" w:rsidR="005B44CA" w:rsidRPr="003F04BE" w:rsidRDefault="005B44CA" w:rsidP="005B44CA">
            <w:pPr>
              <w:spacing w:after="0" w:line="240" w:lineRule="auto"/>
              <w:jc w:val="center"/>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Morelos</w:t>
            </w:r>
          </w:p>
        </w:tc>
        <w:tc>
          <w:tcPr>
            <w:tcW w:w="1380" w:type="dxa"/>
            <w:tcBorders>
              <w:top w:val="nil"/>
              <w:left w:val="nil"/>
              <w:bottom w:val="single" w:sz="4" w:space="0" w:color="auto"/>
              <w:right w:val="single" w:sz="4" w:space="0" w:color="auto"/>
            </w:tcBorders>
            <w:shd w:val="clear" w:color="auto" w:fill="auto"/>
            <w:noWrap/>
            <w:vAlign w:val="bottom"/>
            <w:hideMark/>
          </w:tcPr>
          <w:p w14:paraId="725A73F8"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1865</w:t>
            </w:r>
          </w:p>
        </w:tc>
        <w:tc>
          <w:tcPr>
            <w:tcW w:w="1200" w:type="dxa"/>
            <w:tcBorders>
              <w:top w:val="nil"/>
              <w:left w:val="nil"/>
              <w:bottom w:val="single" w:sz="4" w:space="0" w:color="auto"/>
              <w:right w:val="single" w:sz="4" w:space="0" w:color="auto"/>
            </w:tcBorders>
            <w:shd w:val="clear" w:color="auto" w:fill="auto"/>
            <w:noWrap/>
            <w:vAlign w:val="bottom"/>
            <w:hideMark/>
          </w:tcPr>
          <w:p w14:paraId="131FE144"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94.9</w:t>
            </w:r>
          </w:p>
        </w:tc>
      </w:tr>
      <w:tr w:rsidR="005B44CA" w:rsidRPr="003F04BE" w14:paraId="55EF11C1" w14:textId="77777777" w:rsidTr="005B44CA">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14:paraId="43E878D1" w14:textId="77777777" w:rsidR="005B44CA" w:rsidRPr="003F04BE" w:rsidRDefault="005B44CA" w:rsidP="005B44CA">
            <w:pPr>
              <w:spacing w:after="0" w:line="240" w:lineRule="auto"/>
              <w:jc w:val="center"/>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Coahuila</w:t>
            </w:r>
          </w:p>
        </w:tc>
        <w:tc>
          <w:tcPr>
            <w:tcW w:w="1380" w:type="dxa"/>
            <w:tcBorders>
              <w:top w:val="nil"/>
              <w:left w:val="nil"/>
              <w:bottom w:val="single" w:sz="4" w:space="0" w:color="auto"/>
              <w:right w:val="single" w:sz="4" w:space="0" w:color="auto"/>
            </w:tcBorders>
            <w:shd w:val="clear" w:color="auto" w:fill="auto"/>
            <w:noWrap/>
            <w:vAlign w:val="bottom"/>
            <w:hideMark/>
          </w:tcPr>
          <w:p w14:paraId="486FB095"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2854</w:t>
            </w:r>
          </w:p>
        </w:tc>
        <w:tc>
          <w:tcPr>
            <w:tcW w:w="1200" w:type="dxa"/>
            <w:tcBorders>
              <w:top w:val="nil"/>
              <w:left w:val="nil"/>
              <w:bottom w:val="single" w:sz="4" w:space="0" w:color="auto"/>
              <w:right w:val="single" w:sz="4" w:space="0" w:color="auto"/>
            </w:tcBorders>
            <w:shd w:val="clear" w:color="auto" w:fill="auto"/>
            <w:noWrap/>
            <w:vAlign w:val="bottom"/>
            <w:hideMark/>
          </w:tcPr>
          <w:p w14:paraId="7FD628FB"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94.2</w:t>
            </w:r>
          </w:p>
        </w:tc>
      </w:tr>
      <w:tr w:rsidR="005B44CA" w:rsidRPr="003F04BE" w14:paraId="612C8F0C" w14:textId="77777777" w:rsidTr="005B44CA">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14:paraId="4F88FA98" w14:textId="77777777" w:rsidR="005B44CA" w:rsidRPr="003F04BE" w:rsidRDefault="005B44CA" w:rsidP="005B44CA">
            <w:pPr>
              <w:spacing w:after="0" w:line="240" w:lineRule="auto"/>
              <w:jc w:val="center"/>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Sinaloa</w:t>
            </w:r>
          </w:p>
        </w:tc>
        <w:tc>
          <w:tcPr>
            <w:tcW w:w="1380" w:type="dxa"/>
            <w:tcBorders>
              <w:top w:val="nil"/>
              <w:left w:val="nil"/>
              <w:bottom w:val="single" w:sz="4" w:space="0" w:color="auto"/>
              <w:right w:val="single" w:sz="4" w:space="0" w:color="auto"/>
            </w:tcBorders>
            <w:shd w:val="clear" w:color="auto" w:fill="auto"/>
            <w:noWrap/>
            <w:vAlign w:val="bottom"/>
            <w:hideMark/>
          </w:tcPr>
          <w:p w14:paraId="55027F1F"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2802</w:t>
            </w:r>
          </w:p>
        </w:tc>
        <w:tc>
          <w:tcPr>
            <w:tcW w:w="1200" w:type="dxa"/>
            <w:tcBorders>
              <w:top w:val="nil"/>
              <w:left w:val="nil"/>
              <w:bottom w:val="single" w:sz="4" w:space="0" w:color="auto"/>
              <w:right w:val="single" w:sz="4" w:space="0" w:color="auto"/>
            </w:tcBorders>
            <w:shd w:val="clear" w:color="auto" w:fill="auto"/>
            <w:noWrap/>
            <w:vAlign w:val="bottom"/>
            <w:hideMark/>
          </w:tcPr>
          <w:p w14:paraId="5BD3A34C"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92.3</w:t>
            </w:r>
          </w:p>
        </w:tc>
      </w:tr>
      <w:tr w:rsidR="005B44CA" w:rsidRPr="003F04BE" w14:paraId="19644D95" w14:textId="77777777" w:rsidTr="005B44CA">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14:paraId="0578A38B" w14:textId="77777777" w:rsidR="005B44CA" w:rsidRPr="003F04BE" w:rsidRDefault="005B44CA" w:rsidP="005B44CA">
            <w:pPr>
              <w:spacing w:after="0" w:line="240" w:lineRule="auto"/>
              <w:jc w:val="center"/>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Colima</w:t>
            </w:r>
          </w:p>
        </w:tc>
        <w:tc>
          <w:tcPr>
            <w:tcW w:w="1380" w:type="dxa"/>
            <w:tcBorders>
              <w:top w:val="nil"/>
              <w:left w:val="nil"/>
              <w:bottom w:val="single" w:sz="4" w:space="0" w:color="auto"/>
              <w:right w:val="single" w:sz="4" w:space="0" w:color="auto"/>
            </w:tcBorders>
            <w:shd w:val="clear" w:color="auto" w:fill="auto"/>
            <w:noWrap/>
            <w:vAlign w:val="bottom"/>
            <w:hideMark/>
          </w:tcPr>
          <w:p w14:paraId="0026B95B"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684</w:t>
            </w:r>
          </w:p>
        </w:tc>
        <w:tc>
          <w:tcPr>
            <w:tcW w:w="1200" w:type="dxa"/>
            <w:tcBorders>
              <w:top w:val="nil"/>
              <w:left w:val="nil"/>
              <w:bottom w:val="single" w:sz="4" w:space="0" w:color="auto"/>
              <w:right w:val="single" w:sz="4" w:space="0" w:color="auto"/>
            </w:tcBorders>
            <w:shd w:val="clear" w:color="auto" w:fill="auto"/>
            <w:noWrap/>
            <w:vAlign w:val="bottom"/>
            <w:hideMark/>
          </w:tcPr>
          <w:p w14:paraId="68A191D3"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91.5</w:t>
            </w:r>
          </w:p>
        </w:tc>
      </w:tr>
      <w:tr w:rsidR="005B44CA" w:rsidRPr="003F04BE" w14:paraId="384AD9E9" w14:textId="77777777" w:rsidTr="005B44CA">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14:paraId="38010DA5" w14:textId="77777777" w:rsidR="005B44CA" w:rsidRPr="003F04BE" w:rsidRDefault="005B44CA" w:rsidP="005B44CA">
            <w:pPr>
              <w:spacing w:after="0" w:line="240" w:lineRule="auto"/>
              <w:jc w:val="center"/>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Campeche</w:t>
            </w:r>
          </w:p>
        </w:tc>
        <w:tc>
          <w:tcPr>
            <w:tcW w:w="1380" w:type="dxa"/>
            <w:tcBorders>
              <w:top w:val="nil"/>
              <w:left w:val="nil"/>
              <w:bottom w:val="single" w:sz="4" w:space="0" w:color="auto"/>
              <w:right w:val="single" w:sz="4" w:space="0" w:color="auto"/>
            </w:tcBorders>
            <w:shd w:val="clear" w:color="auto" w:fill="auto"/>
            <w:noWrap/>
            <w:vAlign w:val="bottom"/>
            <w:hideMark/>
          </w:tcPr>
          <w:p w14:paraId="1B75357B"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854</w:t>
            </w:r>
          </w:p>
        </w:tc>
        <w:tc>
          <w:tcPr>
            <w:tcW w:w="1200" w:type="dxa"/>
            <w:tcBorders>
              <w:top w:val="nil"/>
              <w:left w:val="nil"/>
              <w:bottom w:val="single" w:sz="4" w:space="0" w:color="auto"/>
              <w:right w:val="single" w:sz="4" w:space="0" w:color="auto"/>
            </w:tcBorders>
            <w:shd w:val="clear" w:color="auto" w:fill="auto"/>
            <w:noWrap/>
            <w:vAlign w:val="bottom"/>
            <w:hideMark/>
          </w:tcPr>
          <w:p w14:paraId="7A916E8C"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91.3</w:t>
            </w:r>
          </w:p>
        </w:tc>
      </w:tr>
      <w:tr w:rsidR="005B44CA" w:rsidRPr="003F04BE" w14:paraId="6CF53838" w14:textId="77777777" w:rsidTr="005B44CA">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14:paraId="2A968C99" w14:textId="77777777" w:rsidR="005B44CA" w:rsidRPr="003F04BE" w:rsidRDefault="005B44CA" w:rsidP="005B44CA">
            <w:pPr>
              <w:spacing w:after="0" w:line="240" w:lineRule="auto"/>
              <w:jc w:val="center"/>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Baja California Sur</w:t>
            </w:r>
          </w:p>
        </w:tc>
        <w:tc>
          <w:tcPr>
            <w:tcW w:w="1380" w:type="dxa"/>
            <w:tcBorders>
              <w:top w:val="nil"/>
              <w:left w:val="nil"/>
              <w:bottom w:val="single" w:sz="4" w:space="0" w:color="auto"/>
              <w:right w:val="single" w:sz="4" w:space="0" w:color="auto"/>
            </w:tcBorders>
            <w:shd w:val="clear" w:color="auto" w:fill="auto"/>
            <w:noWrap/>
            <w:vAlign w:val="bottom"/>
            <w:hideMark/>
          </w:tcPr>
          <w:p w14:paraId="6C9C91F6"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736</w:t>
            </w:r>
          </w:p>
        </w:tc>
        <w:tc>
          <w:tcPr>
            <w:tcW w:w="1200" w:type="dxa"/>
            <w:tcBorders>
              <w:top w:val="nil"/>
              <w:left w:val="nil"/>
              <w:bottom w:val="single" w:sz="4" w:space="0" w:color="auto"/>
              <w:right w:val="single" w:sz="4" w:space="0" w:color="auto"/>
            </w:tcBorders>
            <w:shd w:val="clear" w:color="auto" w:fill="auto"/>
            <w:noWrap/>
            <w:vAlign w:val="bottom"/>
            <w:hideMark/>
          </w:tcPr>
          <w:p w14:paraId="4D98760A"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90.9</w:t>
            </w:r>
          </w:p>
        </w:tc>
      </w:tr>
      <w:tr w:rsidR="005B44CA" w:rsidRPr="003F04BE" w14:paraId="03C0B154" w14:textId="77777777" w:rsidTr="005B44CA">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14:paraId="167AAD57" w14:textId="77777777" w:rsidR="005B44CA" w:rsidRPr="003F04BE" w:rsidRDefault="005B44CA" w:rsidP="005B44CA">
            <w:pPr>
              <w:spacing w:after="0" w:line="240" w:lineRule="auto"/>
              <w:jc w:val="center"/>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Nayarit</w:t>
            </w:r>
          </w:p>
        </w:tc>
        <w:tc>
          <w:tcPr>
            <w:tcW w:w="1380" w:type="dxa"/>
            <w:tcBorders>
              <w:top w:val="nil"/>
              <w:left w:val="nil"/>
              <w:bottom w:val="single" w:sz="4" w:space="0" w:color="auto"/>
              <w:right w:val="single" w:sz="4" w:space="0" w:color="auto"/>
            </w:tcBorders>
            <w:shd w:val="clear" w:color="auto" w:fill="auto"/>
            <w:noWrap/>
            <w:vAlign w:val="bottom"/>
            <w:hideMark/>
          </w:tcPr>
          <w:p w14:paraId="7B5892C8"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1152</w:t>
            </w:r>
          </w:p>
        </w:tc>
        <w:tc>
          <w:tcPr>
            <w:tcW w:w="1200" w:type="dxa"/>
            <w:tcBorders>
              <w:top w:val="nil"/>
              <w:left w:val="nil"/>
              <w:bottom w:val="single" w:sz="4" w:space="0" w:color="auto"/>
              <w:right w:val="single" w:sz="4" w:space="0" w:color="auto"/>
            </w:tcBorders>
            <w:shd w:val="clear" w:color="auto" w:fill="auto"/>
            <w:noWrap/>
            <w:vAlign w:val="bottom"/>
            <w:hideMark/>
          </w:tcPr>
          <w:p w14:paraId="1003FAFF"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90.8</w:t>
            </w:r>
          </w:p>
        </w:tc>
      </w:tr>
      <w:tr w:rsidR="005B44CA" w:rsidRPr="003F04BE" w14:paraId="4C04683D" w14:textId="77777777" w:rsidTr="005B44CA">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14:paraId="125F88D5" w14:textId="77777777" w:rsidR="005B44CA" w:rsidRPr="003F04BE" w:rsidRDefault="005B44CA" w:rsidP="005B44CA">
            <w:pPr>
              <w:spacing w:after="0" w:line="240" w:lineRule="auto"/>
              <w:jc w:val="center"/>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Tamaulipas</w:t>
            </w:r>
          </w:p>
        </w:tc>
        <w:tc>
          <w:tcPr>
            <w:tcW w:w="1380" w:type="dxa"/>
            <w:tcBorders>
              <w:top w:val="nil"/>
              <w:left w:val="nil"/>
              <w:bottom w:val="single" w:sz="4" w:space="0" w:color="auto"/>
              <w:right w:val="single" w:sz="4" w:space="0" w:color="auto"/>
            </w:tcBorders>
            <w:shd w:val="clear" w:color="auto" w:fill="auto"/>
            <w:noWrap/>
            <w:vAlign w:val="bottom"/>
            <w:hideMark/>
          </w:tcPr>
          <w:p w14:paraId="76111863"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3213</w:t>
            </w:r>
          </w:p>
        </w:tc>
        <w:tc>
          <w:tcPr>
            <w:tcW w:w="1200" w:type="dxa"/>
            <w:tcBorders>
              <w:top w:val="nil"/>
              <w:left w:val="nil"/>
              <w:bottom w:val="single" w:sz="4" w:space="0" w:color="auto"/>
              <w:right w:val="single" w:sz="4" w:space="0" w:color="auto"/>
            </w:tcBorders>
            <w:shd w:val="clear" w:color="auto" w:fill="auto"/>
            <w:noWrap/>
            <w:vAlign w:val="bottom"/>
            <w:hideMark/>
          </w:tcPr>
          <w:p w14:paraId="08E172F9"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88.7</w:t>
            </w:r>
          </w:p>
        </w:tc>
      </w:tr>
      <w:tr w:rsidR="005B44CA" w:rsidRPr="003F04BE" w14:paraId="1DCD47C7" w14:textId="77777777" w:rsidTr="005B44CA">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14:paraId="601FC553" w14:textId="77777777" w:rsidR="005B44CA" w:rsidRPr="003F04BE" w:rsidRDefault="005B44CA" w:rsidP="005B44CA">
            <w:pPr>
              <w:spacing w:after="0" w:line="240" w:lineRule="auto"/>
              <w:jc w:val="center"/>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Chihuahua</w:t>
            </w:r>
          </w:p>
        </w:tc>
        <w:tc>
          <w:tcPr>
            <w:tcW w:w="1380" w:type="dxa"/>
            <w:tcBorders>
              <w:top w:val="nil"/>
              <w:left w:val="nil"/>
              <w:bottom w:val="single" w:sz="4" w:space="0" w:color="auto"/>
              <w:right w:val="single" w:sz="4" w:space="0" w:color="auto"/>
            </w:tcBorders>
            <w:shd w:val="clear" w:color="auto" w:fill="auto"/>
            <w:noWrap/>
            <w:vAlign w:val="bottom"/>
            <w:hideMark/>
          </w:tcPr>
          <w:p w14:paraId="3DE1E0D6"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3298</w:t>
            </w:r>
          </w:p>
        </w:tc>
        <w:tc>
          <w:tcPr>
            <w:tcW w:w="1200" w:type="dxa"/>
            <w:tcBorders>
              <w:top w:val="nil"/>
              <w:left w:val="nil"/>
              <w:bottom w:val="single" w:sz="4" w:space="0" w:color="auto"/>
              <w:right w:val="single" w:sz="4" w:space="0" w:color="auto"/>
            </w:tcBorders>
            <w:shd w:val="clear" w:color="auto" w:fill="auto"/>
            <w:noWrap/>
            <w:vAlign w:val="bottom"/>
            <w:hideMark/>
          </w:tcPr>
          <w:p w14:paraId="1D7B49DC"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87.2</w:t>
            </w:r>
          </w:p>
        </w:tc>
      </w:tr>
      <w:tr w:rsidR="005B44CA" w:rsidRPr="003F04BE" w14:paraId="67185719" w14:textId="77777777" w:rsidTr="005B44CA">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14:paraId="67476260" w14:textId="77777777" w:rsidR="005B44CA" w:rsidRPr="003F04BE" w:rsidRDefault="005B44CA" w:rsidP="005B44CA">
            <w:pPr>
              <w:spacing w:after="0" w:line="240" w:lineRule="auto"/>
              <w:jc w:val="center"/>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Puebla</w:t>
            </w:r>
          </w:p>
        </w:tc>
        <w:tc>
          <w:tcPr>
            <w:tcW w:w="1380" w:type="dxa"/>
            <w:tcBorders>
              <w:top w:val="nil"/>
              <w:left w:val="nil"/>
              <w:bottom w:val="single" w:sz="4" w:space="0" w:color="auto"/>
              <w:right w:val="single" w:sz="4" w:space="0" w:color="auto"/>
            </w:tcBorders>
            <w:shd w:val="clear" w:color="auto" w:fill="auto"/>
            <w:noWrap/>
            <w:vAlign w:val="bottom"/>
            <w:hideMark/>
          </w:tcPr>
          <w:p w14:paraId="3895E8D9"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5443</w:t>
            </w:r>
          </w:p>
        </w:tc>
        <w:tc>
          <w:tcPr>
            <w:tcW w:w="1200" w:type="dxa"/>
            <w:tcBorders>
              <w:top w:val="nil"/>
              <w:left w:val="nil"/>
              <w:bottom w:val="single" w:sz="4" w:space="0" w:color="auto"/>
              <w:right w:val="single" w:sz="4" w:space="0" w:color="auto"/>
            </w:tcBorders>
            <w:shd w:val="clear" w:color="auto" w:fill="auto"/>
            <w:noWrap/>
            <w:vAlign w:val="bottom"/>
            <w:hideMark/>
          </w:tcPr>
          <w:p w14:paraId="6A129CDA"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86.2</w:t>
            </w:r>
          </w:p>
        </w:tc>
      </w:tr>
      <w:tr w:rsidR="005B44CA" w:rsidRPr="003F04BE" w14:paraId="2B9A557F" w14:textId="77777777" w:rsidTr="005B44CA">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14:paraId="2BD2363F" w14:textId="77777777" w:rsidR="005B44CA" w:rsidRPr="003F04BE" w:rsidRDefault="005B44CA" w:rsidP="005B44CA">
            <w:pPr>
              <w:spacing w:after="0" w:line="240" w:lineRule="auto"/>
              <w:jc w:val="center"/>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Guanajuato</w:t>
            </w:r>
          </w:p>
        </w:tc>
        <w:tc>
          <w:tcPr>
            <w:tcW w:w="1380" w:type="dxa"/>
            <w:tcBorders>
              <w:top w:val="nil"/>
              <w:left w:val="nil"/>
              <w:bottom w:val="single" w:sz="4" w:space="0" w:color="auto"/>
              <w:right w:val="single" w:sz="4" w:space="0" w:color="auto"/>
            </w:tcBorders>
            <w:shd w:val="clear" w:color="auto" w:fill="auto"/>
            <w:noWrap/>
            <w:vAlign w:val="bottom"/>
            <w:hideMark/>
          </w:tcPr>
          <w:p w14:paraId="3A77D266"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4924</w:t>
            </w:r>
          </w:p>
        </w:tc>
        <w:tc>
          <w:tcPr>
            <w:tcW w:w="1200" w:type="dxa"/>
            <w:tcBorders>
              <w:top w:val="nil"/>
              <w:left w:val="nil"/>
              <w:bottom w:val="single" w:sz="4" w:space="0" w:color="auto"/>
              <w:right w:val="single" w:sz="4" w:space="0" w:color="auto"/>
            </w:tcBorders>
            <w:shd w:val="clear" w:color="auto" w:fill="auto"/>
            <w:noWrap/>
            <w:vAlign w:val="bottom"/>
            <w:hideMark/>
          </w:tcPr>
          <w:p w14:paraId="21CF5FC9"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83.3</w:t>
            </w:r>
          </w:p>
        </w:tc>
      </w:tr>
      <w:tr w:rsidR="005B44CA" w:rsidRPr="003F04BE" w14:paraId="291A3462" w14:textId="77777777" w:rsidTr="005B44CA">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14:paraId="5ACEBACF" w14:textId="77777777" w:rsidR="005B44CA" w:rsidRPr="003F04BE" w:rsidRDefault="005B44CA" w:rsidP="005B44CA">
            <w:pPr>
              <w:spacing w:after="0" w:line="240" w:lineRule="auto"/>
              <w:jc w:val="center"/>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Tabasco</w:t>
            </w:r>
          </w:p>
        </w:tc>
        <w:tc>
          <w:tcPr>
            <w:tcW w:w="1380" w:type="dxa"/>
            <w:tcBorders>
              <w:top w:val="nil"/>
              <w:left w:val="nil"/>
              <w:bottom w:val="single" w:sz="4" w:space="0" w:color="auto"/>
              <w:right w:val="single" w:sz="4" w:space="0" w:color="auto"/>
            </w:tcBorders>
            <w:shd w:val="clear" w:color="auto" w:fill="auto"/>
            <w:noWrap/>
            <w:vAlign w:val="bottom"/>
            <w:hideMark/>
          </w:tcPr>
          <w:p w14:paraId="47E17097"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1941</w:t>
            </w:r>
          </w:p>
        </w:tc>
        <w:tc>
          <w:tcPr>
            <w:tcW w:w="1200" w:type="dxa"/>
            <w:tcBorders>
              <w:top w:val="nil"/>
              <w:left w:val="nil"/>
              <w:bottom w:val="single" w:sz="4" w:space="0" w:color="auto"/>
              <w:right w:val="single" w:sz="4" w:space="0" w:color="auto"/>
            </w:tcBorders>
            <w:shd w:val="clear" w:color="auto" w:fill="auto"/>
            <w:noWrap/>
            <w:vAlign w:val="bottom"/>
            <w:hideMark/>
          </w:tcPr>
          <w:p w14:paraId="2EA91F15"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79.8</w:t>
            </w:r>
          </w:p>
        </w:tc>
      </w:tr>
      <w:tr w:rsidR="005B44CA" w:rsidRPr="003F04BE" w14:paraId="2C67913E" w14:textId="77777777" w:rsidTr="005B44CA">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14:paraId="6D585F94" w14:textId="77777777" w:rsidR="005B44CA" w:rsidRPr="003F04BE" w:rsidRDefault="005B44CA" w:rsidP="005B44CA">
            <w:pPr>
              <w:spacing w:after="0" w:line="240" w:lineRule="auto"/>
              <w:jc w:val="center"/>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Quintana Roo</w:t>
            </w:r>
          </w:p>
        </w:tc>
        <w:tc>
          <w:tcPr>
            <w:tcW w:w="1380" w:type="dxa"/>
            <w:tcBorders>
              <w:top w:val="nil"/>
              <w:left w:val="nil"/>
              <w:bottom w:val="single" w:sz="4" w:space="0" w:color="auto"/>
              <w:right w:val="single" w:sz="4" w:space="0" w:color="auto"/>
            </w:tcBorders>
            <w:shd w:val="clear" w:color="auto" w:fill="auto"/>
            <w:noWrap/>
            <w:vAlign w:val="bottom"/>
            <w:hideMark/>
          </w:tcPr>
          <w:p w14:paraId="725791A5"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1234</w:t>
            </w:r>
          </w:p>
        </w:tc>
        <w:tc>
          <w:tcPr>
            <w:tcW w:w="1200" w:type="dxa"/>
            <w:tcBorders>
              <w:top w:val="nil"/>
              <w:left w:val="nil"/>
              <w:bottom w:val="single" w:sz="4" w:space="0" w:color="auto"/>
              <w:right w:val="single" w:sz="4" w:space="0" w:color="auto"/>
            </w:tcBorders>
            <w:shd w:val="clear" w:color="auto" w:fill="auto"/>
            <w:noWrap/>
            <w:vAlign w:val="bottom"/>
            <w:hideMark/>
          </w:tcPr>
          <w:p w14:paraId="247B61E7"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74.1</w:t>
            </w:r>
          </w:p>
        </w:tc>
      </w:tr>
      <w:tr w:rsidR="005B44CA" w:rsidRPr="003F04BE" w14:paraId="7E2A2A2C" w14:textId="77777777" w:rsidTr="005B44CA">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14:paraId="1C3BC574" w14:textId="77777777" w:rsidR="005B44CA" w:rsidRPr="003F04BE" w:rsidRDefault="005B44CA" w:rsidP="005B44CA">
            <w:pPr>
              <w:spacing w:after="0" w:line="240" w:lineRule="auto"/>
              <w:jc w:val="center"/>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Hidalgo</w:t>
            </w:r>
          </w:p>
        </w:tc>
        <w:tc>
          <w:tcPr>
            <w:tcW w:w="1380" w:type="dxa"/>
            <w:tcBorders>
              <w:top w:val="nil"/>
              <w:left w:val="nil"/>
              <w:bottom w:val="single" w:sz="4" w:space="0" w:color="auto"/>
              <w:right w:val="single" w:sz="4" w:space="0" w:color="auto"/>
            </w:tcBorders>
            <w:shd w:val="clear" w:color="auto" w:fill="auto"/>
            <w:noWrap/>
            <w:vAlign w:val="bottom"/>
            <w:hideMark/>
          </w:tcPr>
          <w:p w14:paraId="3C12A305"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2178</w:t>
            </w:r>
          </w:p>
        </w:tc>
        <w:tc>
          <w:tcPr>
            <w:tcW w:w="1200" w:type="dxa"/>
            <w:tcBorders>
              <w:top w:val="nil"/>
              <w:left w:val="nil"/>
              <w:bottom w:val="single" w:sz="4" w:space="0" w:color="auto"/>
              <w:right w:val="single" w:sz="4" w:space="0" w:color="auto"/>
            </w:tcBorders>
            <w:shd w:val="clear" w:color="auto" w:fill="auto"/>
            <w:noWrap/>
            <w:vAlign w:val="bottom"/>
            <w:hideMark/>
          </w:tcPr>
          <w:p w14:paraId="3204D347"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73.9</w:t>
            </w:r>
          </w:p>
        </w:tc>
      </w:tr>
      <w:tr w:rsidR="005B44CA" w:rsidRPr="003F04BE" w14:paraId="1537A644" w14:textId="77777777" w:rsidTr="005B44CA">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14:paraId="32A0E2F4" w14:textId="77777777" w:rsidR="005B44CA" w:rsidRPr="003F04BE" w:rsidRDefault="005B44CA" w:rsidP="005B44CA">
            <w:pPr>
              <w:spacing w:after="0" w:line="240" w:lineRule="auto"/>
              <w:jc w:val="center"/>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Michoacán</w:t>
            </w:r>
          </w:p>
        </w:tc>
        <w:tc>
          <w:tcPr>
            <w:tcW w:w="1380" w:type="dxa"/>
            <w:tcBorders>
              <w:top w:val="nil"/>
              <w:left w:val="nil"/>
              <w:bottom w:val="single" w:sz="4" w:space="0" w:color="auto"/>
              <w:right w:val="single" w:sz="4" w:space="0" w:color="auto"/>
            </w:tcBorders>
            <w:shd w:val="clear" w:color="auto" w:fill="auto"/>
            <w:noWrap/>
            <w:vAlign w:val="bottom"/>
            <w:hideMark/>
          </w:tcPr>
          <w:p w14:paraId="612F85FA"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3269</w:t>
            </w:r>
          </w:p>
        </w:tc>
        <w:tc>
          <w:tcPr>
            <w:tcW w:w="1200" w:type="dxa"/>
            <w:tcBorders>
              <w:top w:val="nil"/>
              <w:left w:val="nil"/>
              <w:bottom w:val="single" w:sz="4" w:space="0" w:color="auto"/>
              <w:right w:val="single" w:sz="4" w:space="0" w:color="auto"/>
            </w:tcBorders>
            <w:shd w:val="clear" w:color="auto" w:fill="auto"/>
            <w:noWrap/>
            <w:vAlign w:val="bottom"/>
            <w:hideMark/>
          </w:tcPr>
          <w:p w14:paraId="7733B1C4"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70.2</w:t>
            </w:r>
          </w:p>
        </w:tc>
      </w:tr>
      <w:tr w:rsidR="005B44CA" w:rsidRPr="003F04BE" w14:paraId="3DED3BA0" w14:textId="77777777" w:rsidTr="005B44CA">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14:paraId="12F22E23" w14:textId="77777777" w:rsidR="005B44CA" w:rsidRPr="003F04BE" w:rsidRDefault="005B44CA" w:rsidP="005B44CA">
            <w:pPr>
              <w:spacing w:after="0" w:line="240" w:lineRule="auto"/>
              <w:jc w:val="center"/>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México</w:t>
            </w:r>
          </w:p>
        </w:tc>
        <w:tc>
          <w:tcPr>
            <w:tcW w:w="1380" w:type="dxa"/>
            <w:tcBorders>
              <w:top w:val="nil"/>
              <w:left w:val="nil"/>
              <w:bottom w:val="single" w:sz="4" w:space="0" w:color="auto"/>
              <w:right w:val="single" w:sz="4" w:space="0" w:color="auto"/>
            </w:tcBorders>
            <w:shd w:val="clear" w:color="auto" w:fill="auto"/>
            <w:noWrap/>
            <w:vAlign w:val="bottom"/>
            <w:hideMark/>
          </w:tcPr>
          <w:p w14:paraId="6FE0A75D"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11997</w:t>
            </w:r>
          </w:p>
        </w:tc>
        <w:tc>
          <w:tcPr>
            <w:tcW w:w="1200" w:type="dxa"/>
            <w:tcBorders>
              <w:top w:val="nil"/>
              <w:left w:val="nil"/>
              <w:bottom w:val="single" w:sz="4" w:space="0" w:color="auto"/>
              <w:right w:val="single" w:sz="4" w:space="0" w:color="auto"/>
            </w:tcBorders>
            <w:shd w:val="clear" w:color="auto" w:fill="auto"/>
            <w:noWrap/>
            <w:vAlign w:val="bottom"/>
            <w:hideMark/>
          </w:tcPr>
          <w:p w14:paraId="188192E6"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69.1</w:t>
            </w:r>
          </w:p>
        </w:tc>
      </w:tr>
      <w:tr w:rsidR="005B44CA" w:rsidRPr="003F04BE" w14:paraId="4B9CDAB3" w14:textId="77777777" w:rsidTr="005B44CA">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14:paraId="51153A32" w14:textId="77777777" w:rsidR="005B44CA" w:rsidRPr="003F04BE" w:rsidRDefault="005B44CA" w:rsidP="005B44CA">
            <w:pPr>
              <w:spacing w:after="0" w:line="240" w:lineRule="auto"/>
              <w:jc w:val="center"/>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Veracruz</w:t>
            </w:r>
          </w:p>
        </w:tc>
        <w:tc>
          <w:tcPr>
            <w:tcW w:w="1380" w:type="dxa"/>
            <w:tcBorders>
              <w:top w:val="nil"/>
              <w:left w:val="nil"/>
              <w:bottom w:val="single" w:sz="4" w:space="0" w:color="auto"/>
              <w:right w:val="single" w:sz="4" w:space="0" w:color="auto"/>
            </w:tcBorders>
            <w:shd w:val="clear" w:color="auto" w:fill="auto"/>
            <w:noWrap/>
            <w:vAlign w:val="bottom"/>
            <w:hideMark/>
          </w:tcPr>
          <w:p w14:paraId="36667E89"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5295</w:t>
            </w:r>
          </w:p>
        </w:tc>
        <w:tc>
          <w:tcPr>
            <w:tcW w:w="1200" w:type="dxa"/>
            <w:tcBorders>
              <w:top w:val="nil"/>
              <w:left w:val="nil"/>
              <w:bottom w:val="single" w:sz="4" w:space="0" w:color="auto"/>
              <w:right w:val="single" w:sz="4" w:space="0" w:color="auto"/>
            </w:tcBorders>
            <w:shd w:val="clear" w:color="auto" w:fill="auto"/>
            <w:noWrap/>
            <w:vAlign w:val="bottom"/>
            <w:hideMark/>
          </w:tcPr>
          <w:p w14:paraId="1511169A"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64.9</w:t>
            </w:r>
          </w:p>
        </w:tc>
      </w:tr>
      <w:tr w:rsidR="005B44CA" w:rsidRPr="003F04BE" w14:paraId="4CAEDCAA" w14:textId="77777777" w:rsidTr="005B44CA">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14:paraId="5B7EED2D" w14:textId="77777777" w:rsidR="005B44CA" w:rsidRPr="003F04BE" w:rsidRDefault="005B44CA" w:rsidP="005B44CA">
            <w:pPr>
              <w:spacing w:after="0" w:line="240" w:lineRule="auto"/>
              <w:jc w:val="center"/>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Oaxaca</w:t>
            </w:r>
          </w:p>
        </w:tc>
        <w:tc>
          <w:tcPr>
            <w:tcW w:w="1380" w:type="dxa"/>
            <w:tcBorders>
              <w:top w:val="nil"/>
              <w:left w:val="nil"/>
              <w:bottom w:val="single" w:sz="4" w:space="0" w:color="auto"/>
              <w:right w:val="single" w:sz="4" w:space="0" w:color="auto"/>
            </w:tcBorders>
            <w:shd w:val="clear" w:color="auto" w:fill="auto"/>
            <w:noWrap/>
            <w:vAlign w:val="bottom"/>
            <w:hideMark/>
          </w:tcPr>
          <w:p w14:paraId="2F5DC39F"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2602</w:t>
            </w:r>
          </w:p>
        </w:tc>
        <w:tc>
          <w:tcPr>
            <w:tcW w:w="1200" w:type="dxa"/>
            <w:tcBorders>
              <w:top w:val="nil"/>
              <w:left w:val="nil"/>
              <w:bottom w:val="single" w:sz="4" w:space="0" w:color="auto"/>
              <w:right w:val="single" w:sz="4" w:space="0" w:color="auto"/>
            </w:tcBorders>
            <w:shd w:val="clear" w:color="auto" w:fill="auto"/>
            <w:noWrap/>
            <w:vAlign w:val="bottom"/>
            <w:hideMark/>
          </w:tcPr>
          <w:p w14:paraId="3B26704C"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64.1</w:t>
            </w:r>
          </w:p>
        </w:tc>
      </w:tr>
      <w:tr w:rsidR="005B44CA" w:rsidRPr="003F04BE" w14:paraId="7FD3DBCC" w14:textId="77777777" w:rsidTr="005B44CA">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14:paraId="6B54436A" w14:textId="77777777" w:rsidR="005B44CA" w:rsidRPr="003F04BE" w:rsidRDefault="005B44CA" w:rsidP="005B44CA">
            <w:pPr>
              <w:spacing w:after="0" w:line="240" w:lineRule="auto"/>
              <w:jc w:val="center"/>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Zacatecas</w:t>
            </w:r>
          </w:p>
        </w:tc>
        <w:tc>
          <w:tcPr>
            <w:tcW w:w="1380" w:type="dxa"/>
            <w:tcBorders>
              <w:top w:val="nil"/>
              <w:left w:val="nil"/>
              <w:bottom w:val="single" w:sz="4" w:space="0" w:color="auto"/>
              <w:right w:val="single" w:sz="4" w:space="0" w:color="auto"/>
            </w:tcBorders>
            <w:shd w:val="clear" w:color="auto" w:fill="auto"/>
            <w:noWrap/>
            <w:vAlign w:val="bottom"/>
            <w:hideMark/>
          </w:tcPr>
          <w:p w14:paraId="1AAB3BA9"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991</w:t>
            </w:r>
          </w:p>
        </w:tc>
        <w:tc>
          <w:tcPr>
            <w:tcW w:w="1200" w:type="dxa"/>
            <w:tcBorders>
              <w:top w:val="nil"/>
              <w:left w:val="nil"/>
              <w:bottom w:val="single" w:sz="4" w:space="0" w:color="auto"/>
              <w:right w:val="single" w:sz="4" w:space="0" w:color="auto"/>
            </w:tcBorders>
            <w:shd w:val="clear" w:color="auto" w:fill="auto"/>
            <w:noWrap/>
            <w:vAlign w:val="bottom"/>
            <w:hideMark/>
          </w:tcPr>
          <w:p w14:paraId="361C8981"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61.9</w:t>
            </w:r>
          </w:p>
        </w:tc>
      </w:tr>
      <w:tr w:rsidR="005B44CA" w:rsidRPr="003F04BE" w14:paraId="1FC89BB4" w14:textId="77777777" w:rsidTr="005B44CA">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14:paraId="7DA41B50" w14:textId="77777777" w:rsidR="005B44CA" w:rsidRPr="003F04BE" w:rsidRDefault="005B44CA" w:rsidP="005B44CA">
            <w:pPr>
              <w:spacing w:after="0" w:line="240" w:lineRule="auto"/>
              <w:jc w:val="center"/>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Tlaxcala</w:t>
            </w:r>
          </w:p>
        </w:tc>
        <w:tc>
          <w:tcPr>
            <w:tcW w:w="1380" w:type="dxa"/>
            <w:tcBorders>
              <w:top w:val="nil"/>
              <w:left w:val="nil"/>
              <w:bottom w:val="single" w:sz="4" w:space="0" w:color="auto"/>
              <w:right w:val="single" w:sz="4" w:space="0" w:color="auto"/>
            </w:tcBorders>
            <w:shd w:val="clear" w:color="auto" w:fill="auto"/>
            <w:noWrap/>
            <w:vAlign w:val="bottom"/>
            <w:hideMark/>
          </w:tcPr>
          <w:p w14:paraId="1BB8D628"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679</w:t>
            </w:r>
          </w:p>
        </w:tc>
        <w:tc>
          <w:tcPr>
            <w:tcW w:w="1200" w:type="dxa"/>
            <w:tcBorders>
              <w:top w:val="nil"/>
              <w:left w:val="nil"/>
              <w:bottom w:val="single" w:sz="4" w:space="0" w:color="auto"/>
              <w:right w:val="single" w:sz="4" w:space="0" w:color="auto"/>
            </w:tcBorders>
            <w:shd w:val="clear" w:color="auto" w:fill="auto"/>
            <w:noWrap/>
            <w:vAlign w:val="bottom"/>
            <w:hideMark/>
          </w:tcPr>
          <w:p w14:paraId="1CFC8D62"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51.7</w:t>
            </w:r>
          </w:p>
        </w:tc>
      </w:tr>
      <w:tr w:rsidR="005B44CA" w:rsidRPr="003F04BE" w14:paraId="1543922F" w14:textId="77777777" w:rsidTr="005B44CA">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14:paraId="6E0A1D95" w14:textId="77777777" w:rsidR="005B44CA" w:rsidRPr="003F04BE" w:rsidRDefault="005B44CA" w:rsidP="005B44CA">
            <w:pPr>
              <w:spacing w:after="0" w:line="240" w:lineRule="auto"/>
              <w:jc w:val="center"/>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Guerrero</w:t>
            </w:r>
          </w:p>
        </w:tc>
        <w:tc>
          <w:tcPr>
            <w:tcW w:w="1380" w:type="dxa"/>
            <w:tcBorders>
              <w:top w:val="nil"/>
              <w:left w:val="nil"/>
              <w:bottom w:val="single" w:sz="4" w:space="0" w:color="auto"/>
              <w:right w:val="single" w:sz="4" w:space="0" w:color="auto"/>
            </w:tcBorders>
            <w:shd w:val="clear" w:color="auto" w:fill="auto"/>
            <w:noWrap/>
            <w:vAlign w:val="bottom"/>
            <w:hideMark/>
          </w:tcPr>
          <w:p w14:paraId="151DCB20"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1414</w:t>
            </w:r>
          </w:p>
        </w:tc>
        <w:tc>
          <w:tcPr>
            <w:tcW w:w="1200" w:type="dxa"/>
            <w:tcBorders>
              <w:top w:val="nil"/>
              <w:left w:val="nil"/>
              <w:bottom w:val="single" w:sz="4" w:space="0" w:color="auto"/>
              <w:right w:val="single" w:sz="4" w:space="0" w:color="auto"/>
            </w:tcBorders>
            <w:shd w:val="clear" w:color="auto" w:fill="auto"/>
            <w:noWrap/>
            <w:vAlign w:val="bottom"/>
            <w:hideMark/>
          </w:tcPr>
          <w:p w14:paraId="330656FA"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39.2</w:t>
            </w:r>
          </w:p>
        </w:tc>
      </w:tr>
      <w:tr w:rsidR="005B44CA" w:rsidRPr="003F04BE" w14:paraId="64095003" w14:textId="77777777" w:rsidTr="005B44CA">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14:paraId="5C4BD4FD" w14:textId="77777777" w:rsidR="005B44CA" w:rsidRPr="003F04BE" w:rsidRDefault="005B44CA" w:rsidP="005B44CA">
            <w:pPr>
              <w:spacing w:after="0" w:line="240" w:lineRule="auto"/>
              <w:jc w:val="center"/>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Chiapas</w:t>
            </w:r>
          </w:p>
        </w:tc>
        <w:tc>
          <w:tcPr>
            <w:tcW w:w="1380" w:type="dxa"/>
            <w:tcBorders>
              <w:top w:val="nil"/>
              <w:left w:val="nil"/>
              <w:bottom w:val="single" w:sz="4" w:space="0" w:color="auto"/>
              <w:right w:val="single" w:sz="4" w:space="0" w:color="auto"/>
            </w:tcBorders>
            <w:shd w:val="clear" w:color="auto" w:fill="auto"/>
            <w:noWrap/>
            <w:vAlign w:val="bottom"/>
            <w:hideMark/>
          </w:tcPr>
          <w:p w14:paraId="6436C56D"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1934</w:t>
            </w:r>
          </w:p>
        </w:tc>
        <w:tc>
          <w:tcPr>
            <w:tcW w:w="1200" w:type="dxa"/>
            <w:tcBorders>
              <w:top w:val="nil"/>
              <w:left w:val="nil"/>
              <w:bottom w:val="single" w:sz="4" w:space="0" w:color="auto"/>
              <w:right w:val="single" w:sz="4" w:space="0" w:color="auto"/>
            </w:tcBorders>
            <w:shd w:val="clear" w:color="auto" w:fill="auto"/>
            <w:noWrap/>
            <w:vAlign w:val="bottom"/>
            <w:hideMark/>
          </w:tcPr>
          <w:p w14:paraId="2440C66F" w14:textId="77777777" w:rsidR="005B44CA" w:rsidRPr="003F04BE" w:rsidRDefault="005B44CA" w:rsidP="005B44CA">
            <w:pPr>
              <w:spacing w:after="0" w:line="240" w:lineRule="auto"/>
              <w:jc w:val="right"/>
              <w:rPr>
                <w:rFonts w:ascii="Arial" w:eastAsia="Times New Roman" w:hAnsi="Arial" w:cs="Arial"/>
                <w:color w:val="000000"/>
                <w:sz w:val="20"/>
                <w:szCs w:val="20"/>
                <w:lang w:eastAsia="es-MX"/>
              </w:rPr>
            </w:pPr>
            <w:r w:rsidRPr="003F04BE">
              <w:rPr>
                <w:rFonts w:ascii="Arial" w:eastAsia="Times New Roman" w:hAnsi="Arial" w:cs="Arial"/>
                <w:color w:val="000000"/>
                <w:sz w:val="20"/>
                <w:szCs w:val="20"/>
                <w:lang w:eastAsia="es-MX"/>
              </w:rPr>
              <w:t>35.9</w:t>
            </w:r>
          </w:p>
        </w:tc>
      </w:tr>
    </w:tbl>
    <w:p w14:paraId="544F6C10" w14:textId="7F84E820" w:rsidR="005B44CA" w:rsidRPr="00B13AFE" w:rsidRDefault="005B44CA" w:rsidP="003F04BE">
      <w:pPr>
        <w:spacing w:after="0" w:line="240" w:lineRule="auto"/>
        <w:ind w:left="2126" w:firstLine="709"/>
        <w:jc w:val="both"/>
        <w:rPr>
          <w:rFonts w:ascii="Arial" w:hAnsi="Arial" w:cs="Arial"/>
          <w:sz w:val="20"/>
        </w:rPr>
      </w:pPr>
      <w:r w:rsidRPr="00B13AFE">
        <w:rPr>
          <w:rFonts w:ascii="Arial" w:hAnsi="Arial" w:cs="Arial"/>
          <w:b/>
          <w:sz w:val="20"/>
        </w:rPr>
        <w:t>Fuente:</w:t>
      </w:r>
      <w:r w:rsidRPr="00B13AFE">
        <w:rPr>
          <w:rFonts w:ascii="Arial" w:hAnsi="Arial" w:cs="Arial"/>
          <w:sz w:val="20"/>
        </w:rPr>
        <w:t xml:space="preserve"> Heinze </w:t>
      </w:r>
      <w:r w:rsidRPr="00B13AFE">
        <w:rPr>
          <w:rFonts w:ascii="Arial" w:hAnsi="Arial" w:cs="Arial"/>
          <w:i/>
          <w:sz w:val="20"/>
        </w:rPr>
        <w:t>et al.</w:t>
      </w:r>
      <w:r w:rsidRPr="00B13AFE">
        <w:rPr>
          <w:rFonts w:ascii="Arial" w:hAnsi="Arial" w:cs="Arial"/>
          <w:sz w:val="20"/>
        </w:rPr>
        <w:t xml:space="preserve"> (2018), p. 344.</w:t>
      </w:r>
    </w:p>
    <w:p w14:paraId="05F18E03" w14:textId="0351FCBF" w:rsidR="005B44CA" w:rsidRDefault="00BE737B" w:rsidP="005B44CA">
      <w:pPr>
        <w:spacing w:line="360" w:lineRule="auto"/>
        <w:jc w:val="both"/>
        <w:rPr>
          <w:rFonts w:ascii="Arial" w:hAnsi="Arial" w:cs="Arial"/>
        </w:rPr>
      </w:pPr>
      <w:r>
        <w:rPr>
          <w:rFonts w:ascii="Arial" w:hAnsi="Arial" w:cs="Arial"/>
        </w:rPr>
        <w:lastRenderedPageBreak/>
        <w:t>Al respecto</w:t>
      </w:r>
      <w:r w:rsidR="005B44CA">
        <w:rPr>
          <w:rFonts w:ascii="Arial" w:hAnsi="Arial" w:cs="Arial"/>
        </w:rPr>
        <w:t>, es importante señalar que los recursos humanos son el activo principal de los sistemas de salud, y la capacidad de respuesta de éstos dependen, entre otros factores, del tamaño, composición, distribución y productividad de su fuerza laboral</w:t>
      </w:r>
      <w:r w:rsidR="005B44CA">
        <w:rPr>
          <w:rStyle w:val="Refdenotaalpie"/>
          <w:rFonts w:ascii="Arial" w:hAnsi="Arial" w:cs="Arial"/>
        </w:rPr>
        <w:footnoteReference w:id="92"/>
      </w:r>
      <w:r w:rsidR="005B44CA">
        <w:rPr>
          <w:rFonts w:ascii="Arial" w:hAnsi="Arial" w:cs="Arial"/>
        </w:rPr>
        <w:t>. La distribución inequitativa de los médicos especialistas (así como de otros recursos humanos y físicos en salud) –entre y dentro de los países– ha sido un problema continuo y mundial, lo cual contribuye a diversos problemas de equidad (servicios no disponible de acuerdo a las necesidades epidemiológicas y demográficas), de eficiencia y efectividad de los servicios; por ejemplo, paradójicamente, un excedente de recursos humanos en salud conduce a una subutilización de estos, y a un mayor costo del sistema de salud</w:t>
      </w:r>
      <w:r w:rsidR="005B44CA">
        <w:rPr>
          <w:rStyle w:val="Refdenotaalpie"/>
          <w:rFonts w:ascii="Arial" w:hAnsi="Arial" w:cs="Arial"/>
        </w:rPr>
        <w:footnoteReference w:id="93"/>
      </w:r>
      <w:r w:rsidR="005B44CA">
        <w:rPr>
          <w:rFonts w:ascii="Arial" w:hAnsi="Arial" w:cs="Arial"/>
        </w:rPr>
        <w:t>. Asimismo, las variaciones del personal médico son resultado de una compleja relación de decisiones individuales, comunitarias y gubernamentales, las cuales son influenciadas por factores personales, profesionales, organizacionales, económicos, políticos y culturales</w:t>
      </w:r>
      <w:r w:rsidR="005B44CA">
        <w:rPr>
          <w:rStyle w:val="Refdenotaalpie"/>
          <w:rFonts w:ascii="Arial" w:hAnsi="Arial" w:cs="Arial"/>
        </w:rPr>
        <w:footnoteReference w:id="94"/>
      </w:r>
      <w:r w:rsidR="005B44CA">
        <w:rPr>
          <w:rFonts w:ascii="Arial" w:hAnsi="Arial" w:cs="Arial"/>
        </w:rPr>
        <w:t>.</w:t>
      </w:r>
    </w:p>
    <w:p w14:paraId="1EE1C7A8" w14:textId="77777777" w:rsidR="005B44CA" w:rsidRDefault="005B44CA" w:rsidP="005B44CA">
      <w:pPr>
        <w:spacing w:line="360" w:lineRule="auto"/>
        <w:jc w:val="both"/>
        <w:rPr>
          <w:rFonts w:ascii="Arial" w:hAnsi="Arial" w:cs="Arial"/>
        </w:rPr>
      </w:pPr>
      <w:r>
        <w:rPr>
          <w:rFonts w:ascii="Arial" w:hAnsi="Arial" w:cs="Arial"/>
        </w:rPr>
        <w:t>Para romper los patrones de ejercicio profesional de los médicos y, en específico, lograr una distribución geográfica más uniforme de los especialistas, la Academia Nacional de Medicina propone lo siguiente:</w:t>
      </w:r>
    </w:p>
    <w:p w14:paraId="56B54535" w14:textId="77777777" w:rsidR="005B44CA" w:rsidRDefault="005B44CA" w:rsidP="005B44CA">
      <w:pPr>
        <w:spacing w:line="360" w:lineRule="auto"/>
        <w:ind w:left="708"/>
        <w:jc w:val="both"/>
        <w:rPr>
          <w:rFonts w:ascii="Arial" w:hAnsi="Arial" w:cs="Arial"/>
          <w:sz w:val="20"/>
        </w:rPr>
      </w:pPr>
      <w:r>
        <w:rPr>
          <w:rFonts w:ascii="Arial" w:hAnsi="Arial" w:cs="Arial"/>
          <w:sz w:val="20"/>
        </w:rPr>
        <w:t>“…</w:t>
      </w:r>
      <w:r w:rsidRPr="000B10B8">
        <w:rPr>
          <w:rFonts w:ascii="Arial" w:hAnsi="Arial" w:cs="Arial"/>
          <w:sz w:val="20"/>
        </w:rPr>
        <w:t>promover el desarrollo de las comunidades económica y socialmente más atrasadas del país; crear est</w:t>
      </w:r>
      <w:r>
        <w:rPr>
          <w:rFonts w:ascii="Arial" w:hAnsi="Arial" w:cs="Arial"/>
          <w:sz w:val="20"/>
        </w:rPr>
        <w:t xml:space="preserve">ímulos y alicientes (sociales y </w:t>
      </w:r>
      <w:r w:rsidRPr="000B10B8">
        <w:rPr>
          <w:rFonts w:ascii="Arial" w:hAnsi="Arial" w:cs="Arial"/>
          <w:sz w:val="20"/>
        </w:rPr>
        <w:t>económicos) para que los especialis</w:t>
      </w:r>
      <w:r>
        <w:rPr>
          <w:rFonts w:ascii="Arial" w:hAnsi="Arial" w:cs="Arial"/>
          <w:sz w:val="20"/>
        </w:rPr>
        <w:t xml:space="preserve">tas se instalen en las regiones </w:t>
      </w:r>
      <w:r w:rsidRPr="000B10B8">
        <w:rPr>
          <w:rFonts w:ascii="Arial" w:hAnsi="Arial" w:cs="Arial"/>
          <w:sz w:val="20"/>
        </w:rPr>
        <w:t>con menor dotación de ellos (p. ej., establ</w:t>
      </w:r>
      <w:r>
        <w:rPr>
          <w:rFonts w:ascii="Arial" w:hAnsi="Arial" w:cs="Arial"/>
          <w:sz w:val="20"/>
        </w:rPr>
        <w:t>ecer salarios preferenciales);</w:t>
      </w:r>
      <w:r w:rsidRPr="000B10B8">
        <w:rPr>
          <w:rFonts w:ascii="Arial" w:hAnsi="Arial" w:cs="Arial"/>
          <w:sz w:val="20"/>
        </w:rPr>
        <w:t xml:space="preserve"> dotar de mayores recurs</w:t>
      </w:r>
      <w:r>
        <w:rPr>
          <w:rFonts w:ascii="Arial" w:hAnsi="Arial" w:cs="Arial"/>
          <w:sz w:val="20"/>
        </w:rPr>
        <w:t xml:space="preserve">os económicos a los estados con </w:t>
      </w:r>
      <w:r w:rsidRPr="000B10B8">
        <w:rPr>
          <w:rFonts w:ascii="Arial" w:hAnsi="Arial" w:cs="Arial"/>
          <w:sz w:val="20"/>
        </w:rPr>
        <w:t>mayor escasez de recursos para la sa</w:t>
      </w:r>
      <w:r>
        <w:rPr>
          <w:rFonts w:ascii="Arial" w:hAnsi="Arial" w:cs="Arial"/>
          <w:sz w:val="20"/>
        </w:rPr>
        <w:t xml:space="preserve">lud; mejorar la calidad de vida </w:t>
      </w:r>
      <w:r w:rsidRPr="000B10B8">
        <w:rPr>
          <w:rFonts w:ascii="Arial" w:hAnsi="Arial" w:cs="Arial"/>
          <w:sz w:val="20"/>
        </w:rPr>
        <w:t>en las regiones menos dotadas; mejo</w:t>
      </w:r>
      <w:r>
        <w:rPr>
          <w:rFonts w:ascii="Arial" w:hAnsi="Arial" w:cs="Arial"/>
          <w:sz w:val="20"/>
        </w:rPr>
        <w:t xml:space="preserve">rar el acceso cercano a centros </w:t>
      </w:r>
      <w:r w:rsidRPr="000B10B8">
        <w:rPr>
          <w:rFonts w:ascii="Arial" w:hAnsi="Arial" w:cs="Arial"/>
          <w:sz w:val="20"/>
        </w:rPr>
        <w:t>educativos de calidad; mejorar la infr</w:t>
      </w:r>
      <w:r>
        <w:rPr>
          <w:rFonts w:ascii="Arial" w:hAnsi="Arial" w:cs="Arial"/>
          <w:sz w:val="20"/>
        </w:rPr>
        <w:t xml:space="preserve">aestructura general y servicios </w:t>
      </w:r>
      <w:r w:rsidRPr="000B10B8">
        <w:rPr>
          <w:rFonts w:ascii="Arial" w:hAnsi="Arial" w:cs="Arial"/>
          <w:sz w:val="20"/>
        </w:rPr>
        <w:t>de las ciudades pequeñas (vivien</w:t>
      </w:r>
      <w:r>
        <w:rPr>
          <w:rFonts w:ascii="Arial" w:hAnsi="Arial" w:cs="Arial"/>
          <w:sz w:val="20"/>
        </w:rPr>
        <w:t xml:space="preserve">da, transporte, comunicaciones, </w:t>
      </w:r>
      <w:r w:rsidRPr="000B10B8">
        <w:rPr>
          <w:rFonts w:ascii="Arial" w:hAnsi="Arial" w:cs="Arial"/>
          <w:sz w:val="20"/>
        </w:rPr>
        <w:t>escuelas, centros hospitalarios, et</w:t>
      </w:r>
      <w:r>
        <w:rPr>
          <w:rFonts w:ascii="Arial" w:hAnsi="Arial" w:cs="Arial"/>
          <w:sz w:val="20"/>
        </w:rPr>
        <w:t xml:space="preserve">c.); mejorar el acceso a medios </w:t>
      </w:r>
      <w:r w:rsidRPr="000B10B8">
        <w:rPr>
          <w:rFonts w:ascii="Arial" w:hAnsi="Arial" w:cs="Arial"/>
          <w:sz w:val="20"/>
        </w:rPr>
        <w:t>electrónicos en todas las regiones de</w:t>
      </w:r>
      <w:r>
        <w:rPr>
          <w:rFonts w:ascii="Arial" w:hAnsi="Arial" w:cs="Arial"/>
          <w:sz w:val="20"/>
        </w:rPr>
        <w:t xml:space="preserve">l país e intensificar el uso de </w:t>
      </w:r>
      <w:r w:rsidRPr="000B10B8">
        <w:rPr>
          <w:rFonts w:ascii="Arial" w:hAnsi="Arial" w:cs="Arial"/>
          <w:sz w:val="20"/>
        </w:rPr>
        <w:t>la telemedicina; establecer programa</w:t>
      </w:r>
      <w:r>
        <w:rPr>
          <w:rFonts w:ascii="Arial" w:hAnsi="Arial" w:cs="Arial"/>
          <w:sz w:val="20"/>
        </w:rPr>
        <w:t xml:space="preserve">s de desarrollo y actualización </w:t>
      </w:r>
      <w:r w:rsidRPr="000B10B8">
        <w:rPr>
          <w:rFonts w:ascii="Arial" w:hAnsi="Arial" w:cs="Arial"/>
          <w:sz w:val="20"/>
        </w:rPr>
        <w:t>para especialistas en las regione</w:t>
      </w:r>
      <w:r>
        <w:rPr>
          <w:rFonts w:ascii="Arial" w:hAnsi="Arial" w:cs="Arial"/>
          <w:sz w:val="20"/>
        </w:rPr>
        <w:t xml:space="preserve">s menos dotadas de ellos; abrir </w:t>
      </w:r>
      <w:r w:rsidRPr="000B10B8">
        <w:rPr>
          <w:rFonts w:ascii="Arial" w:hAnsi="Arial" w:cs="Arial"/>
          <w:sz w:val="20"/>
        </w:rPr>
        <w:t>plazas de especialistas en las zonas donde casi no los haya, con algún compromiso de parte de los ca</w:t>
      </w:r>
      <w:r>
        <w:rPr>
          <w:rFonts w:ascii="Arial" w:hAnsi="Arial" w:cs="Arial"/>
          <w:sz w:val="20"/>
        </w:rPr>
        <w:t xml:space="preserve">ndidatos de permanecer en ellas </w:t>
      </w:r>
      <w:r w:rsidRPr="000B10B8">
        <w:rPr>
          <w:rFonts w:ascii="Arial" w:hAnsi="Arial" w:cs="Arial"/>
          <w:sz w:val="20"/>
        </w:rPr>
        <w:t>al menos durante cierto lapso, una vez concluida la especialidad;</w:t>
      </w:r>
      <w:r w:rsidRPr="000B10B8">
        <w:t xml:space="preserve"> </w:t>
      </w:r>
      <w:r w:rsidRPr="000B10B8">
        <w:rPr>
          <w:rFonts w:ascii="Arial" w:hAnsi="Arial" w:cs="Arial"/>
          <w:sz w:val="20"/>
        </w:rPr>
        <w:t>unificar el Sistema nacional de salud; asegurar la cobertura universal de los servicios de salud; esta</w:t>
      </w:r>
      <w:r>
        <w:rPr>
          <w:rFonts w:ascii="Arial" w:hAnsi="Arial" w:cs="Arial"/>
          <w:sz w:val="20"/>
        </w:rPr>
        <w:t xml:space="preserve">blecer un sistema de planeación </w:t>
      </w:r>
      <w:r w:rsidRPr="000B10B8">
        <w:rPr>
          <w:rFonts w:ascii="Arial" w:hAnsi="Arial" w:cs="Arial"/>
          <w:sz w:val="20"/>
        </w:rPr>
        <w:t>estratégica que permita controlar l</w:t>
      </w:r>
      <w:r>
        <w:rPr>
          <w:rFonts w:ascii="Arial" w:hAnsi="Arial" w:cs="Arial"/>
          <w:sz w:val="20"/>
        </w:rPr>
        <w:t xml:space="preserve">a dotación de especialistas por </w:t>
      </w:r>
      <w:r w:rsidRPr="000B10B8">
        <w:rPr>
          <w:rFonts w:ascii="Arial" w:hAnsi="Arial" w:cs="Arial"/>
          <w:sz w:val="20"/>
        </w:rPr>
        <w:t>regiones; elaborar un diagnóstico d</w:t>
      </w:r>
      <w:r>
        <w:rPr>
          <w:rFonts w:ascii="Arial" w:hAnsi="Arial" w:cs="Arial"/>
          <w:sz w:val="20"/>
        </w:rPr>
        <w:t xml:space="preserve">e las fortalezas, debilidades y </w:t>
      </w:r>
      <w:r w:rsidRPr="000B10B8">
        <w:rPr>
          <w:rFonts w:ascii="Arial" w:hAnsi="Arial" w:cs="Arial"/>
          <w:sz w:val="20"/>
        </w:rPr>
        <w:t>necesidades reales de especialist</w:t>
      </w:r>
      <w:r>
        <w:rPr>
          <w:rFonts w:ascii="Arial" w:hAnsi="Arial" w:cs="Arial"/>
          <w:sz w:val="20"/>
        </w:rPr>
        <w:t xml:space="preserve">as por regiones (de acuerdo con </w:t>
      </w:r>
      <w:r w:rsidRPr="000B10B8">
        <w:rPr>
          <w:rFonts w:ascii="Arial" w:hAnsi="Arial" w:cs="Arial"/>
          <w:sz w:val="20"/>
        </w:rPr>
        <w:t xml:space="preserve">sus perfiles </w:t>
      </w:r>
      <w:r w:rsidRPr="000B10B8">
        <w:rPr>
          <w:rFonts w:ascii="Arial" w:hAnsi="Arial" w:cs="Arial"/>
          <w:sz w:val="20"/>
        </w:rPr>
        <w:lastRenderedPageBreak/>
        <w:t>epidemiológicos); elab</w:t>
      </w:r>
      <w:r>
        <w:rPr>
          <w:rFonts w:ascii="Arial" w:hAnsi="Arial" w:cs="Arial"/>
          <w:sz w:val="20"/>
        </w:rPr>
        <w:t xml:space="preserve">orar un diagnóstico situacional </w:t>
      </w:r>
      <w:r w:rsidRPr="000B10B8">
        <w:rPr>
          <w:rFonts w:ascii="Arial" w:hAnsi="Arial" w:cs="Arial"/>
          <w:sz w:val="20"/>
        </w:rPr>
        <w:t>y divulgar la información resultant</w:t>
      </w:r>
      <w:r>
        <w:rPr>
          <w:rFonts w:ascii="Arial" w:hAnsi="Arial" w:cs="Arial"/>
          <w:sz w:val="20"/>
        </w:rPr>
        <w:t xml:space="preserve">e; que las autoridades de salud </w:t>
      </w:r>
      <w:r w:rsidRPr="000B10B8">
        <w:rPr>
          <w:rFonts w:ascii="Arial" w:hAnsi="Arial" w:cs="Arial"/>
          <w:sz w:val="20"/>
        </w:rPr>
        <w:t>intensifiquen los mecanismos de promoción para atraer a los especialistas a las regiones menos dotadas; crear la infraestructura necesaria en las ciudades pequeñas para la</w:t>
      </w:r>
      <w:r>
        <w:rPr>
          <w:rFonts w:ascii="Arial" w:hAnsi="Arial" w:cs="Arial"/>
          <w:sz w:val="20"/>
        </w:rPr>
        <w:t xml:space="preserve"> práctica de las especialidades </w:t>
      </w:r>
      <w:r w:rsidRPr="000B10B8">
        <w:rPr>
          <w:rFonts w:ascii="Arial" w:hAnsi="Arial" w:cs="Arial"/>
          <w:sz w:val="20"/>
        </w:rPr>
        <w:t>necesarias en ellas (p. ej., hospitales d</w:t>
      </w:r>
      <w:r>
        <w:rPr>
          <w:rFonts w:ascii="Arial" w:hAnsi="Arial" w:cs="Arial"/>
          <w:sz w:val="20"/>
        </w:rPr>
        <w:t xml:space="preserve">e alta especialidad similares a </w:t>
      </w:r>
      <w:r w:rsidRPr="000B10B8">
        <w:rPr>
          <w:rFonts w:ascii="Arial" w:hAnsi="Arial" w:cs="Arial"/>
          <w:sz w:val="20"/>
        </w:rPr>
        <w:t>los de poblaciones pequeñas aleda</w:t>
      </w:r>
      <w:r>
        <w:rPr>
          <w:rFonts w:ascii="Arial" w:hAnsi="Arial" w:cs="Arial"/>
          <w:sz w:val="20"/>
        </w:rPr>
        <w:t xml:space="preserve">ñas a la Ciudad de México, como </w:t>
      </w:r>
      <w:r w:rsidRPr="000B10B8">
        <w:rPr>
          <w:rFonts w:ascii="Arial" w:hAnsi="Arial" w:cs="Arial"/>
          <w:sz w:val="20"/>
        </w:rPr>
        <w:t>San Juan del Río, Chalco, etc.); establecer al menos un hospi</w:t>
      </w:r>
      <w:r>
        <w:rPr>
          <w:rFonts w:ascii="Arial" w:hAnsi="Arial" w:cs="Arial"/>
          <w:sz w:val="20"/>
        </w:rPr>
        <w:t xml:space="preserve">tal </w:t>
      </w:r>
      <w:r w:rsidRPr="000B10B8">
        <w:rPr>
          <w:rFonts w:ascii="Arial" w:hAnsi="Arial" w:cs="Arial"/>
          <w:sz w:val="20"/>
        </w:rPr>
        <w:t>de tercer nivel por cada 15 munic</w:t>
      </w:r>
      <w:r>
        <w:rPr>
          <w:rFonts w:ascii="Arial" w:hAnsi="Arial" w:cs="Arial"/>
          <w:sz w:val="20"/>
        </w:rPr>
        <w:t xml:space="preserve">ipios; incrementar el número de </w:t>
      </w:r>
      <w:r w:rsidRPr="000B10B8">
        <w:rPr>
          <w:rFonts w:ascii="Arial" w:hAnsi="Arial" w:cs="Arial"/>
          <w:sz w:val="20"/>
        </w:rPr>
        <w:t>hospitales institucionales en l</w:t>
      </w:r>
      <w:r>
        <w:rPr>
          <w:rFonts w:ascii="Arial" w:hAnsi="Arial" w:cs="Arial"/>
          <w:sz w:val="20"/>
        </w:rPr>
        <w:t xml:space="preserve">as comunidades menos dotadas de </w:t>
      </w:r>
      <w:r w:rsidRPr="000B10B8">
        <w:rPr>
          <w:rFonts w:ascii="Arial" w:hAnsi="Arial" w:cs="Arial"/>
          <w:sz w:val="20"/>
        </w:rPr>
        <w:t>especialistas; fortalecer y/o crea</w:t>
      </w:r>
      <w:r>
        <w:rPr>
          <w:rFonts w:ascii="Arial" w:hAnsi="Arial" w:cs="Arial"/>
          <w:sz w:val="20"/>
        </w:rPr>
        <w:t xml:space="preserve">r los programas de formación de </w:t>
      </w:r>
      <w:r w:rsidRPr="000B10B8">
        <w:rPr>
          <w:rFonts w:ascii="Arial" w:hAnsi="Arial" w:cs="Arial"/>
          <w:sz w:val="20"/>
        </w:rPr>
        <w:t>especialistas en todos los estados de la República; revisa</w:t>
      </w:r>
      <w:r>
        <w:rPr>
          <w:rFonts w:ascii="Arial" w:hAnsi="Arial" w:cs="Arial"/>
          <w:sz w:val="20"/>
        </w:rPr>
        <w:t xml:space="preserve">r los planes </w:t>
      </w:r>
      <w:r w:rsidRPr="000B10B8">
        <w:rPr>
          <w:rFonts w:ascii="Arial" w:hAnsi="Arial" w:cs="Arial"/>
          <w:sz w:val="20"/>
        </w:rPr>
        <w:t>y programas de la licenciatura de m</w:t>
      </w:r>
      <w:r>
        <w:rPr>
          <w:rFonts w:ascii="Arial" w:hAnsi="Arial" w:cs="Arial"/>
          <w:sz w:val="20"/>
        </w:rPr>
        <w:t xml:space="preserve">edicina y de las especialidades </w:t>
      </w:r>
      <w:r w:rsidRPr="000B10B8">
        <w:rPr>
          <w:rFonts w:ascii="Arial" w:hAnsi="Arial" w:cs="Arial"/>
          <w:sz w:val="20"/>
        </w:rPr>
        <w:t>médicas para motivar a sus egresados a practicar la medicina en las</w:t>
      </w:r>
      <w:r>
        <w:rPr>
          <w:rFonts w:ascii="Arial" w:hAnsi="Arial" w:cs="Arial"/>
          <w:sz w:val="20"/>
        </w:rPr>
        <w:t xml:space="preserve"> </w:t>
      </w:r>
      <w:r w:rsidRPr="000B10B8">
        <w:rPr>
          <w:rFonts w:ascii="Arial" w:hAnsi="Arial" w:cs="Arial"/>
          <w:sz w:val="20"/>
        </w:rPr>
        <w:t>comunidades menos dotadas de especialistas; promover una medicina más social</w:t>
      </w:r>
      <w:r>
        <w:rPr>
          <w:rFonts w:ascii="Arial" w:hAnsi="Arial" w:cs="Arial"/>
          <w:sz w:val="20"/>
        </w:rPr>
        <w:t>.” (p.173)</w:t>
      </w:r>
      <w:r>
        <w:rPr>
          <w:rStyle w:val="Refdenotaalpie"/>
          <w:rFonts w:ascii="Arial" w:hAnsi="Arial" w:cs="Arial"/>
          <w:sz w:val="20"/>
        </w:rPr>
        <w:footnoteReference w:id="95"/>
      </w:r>
    </w:p>
    <w:p w14:paraId="032CDF8B" w14:textId="77777777" w:rsidR="005B44CA" w:rsidRDefault="005B44CA" w:rsidP="005B44CA">
      <w:pPr>
        <w:spacing w:line="360" w:lineRule="auto"/>
        <w:jc w:val="both"/>
        <w:rPr>
          <w:rFonts w:ascii="Arial" w:hAnsi="Arial" w:cs="Arial"/>
        </w:rPr>
      </w:pPr>
      <w:r>
        <w:rPr>
          <w:rFonts w:ascii="Arial" w:hAnsi="Arial" w:cs="Arial"/>
        </w:rPr>
        <w:t>Por otro lado, para aproximarse al mercado laboral de los médicos especialistas, se hizo un análisis de la Encuesta Nacional de Ocupación y Empleo 2018 (IV Trimestre); en específico, se analizaron los resultados de la encuesta referente a la población con estudios en el campo de formación de la Medicina con estudios de posgrado (maestría y doctorado). Es importante señalar que la ENOE es un ejercicio estadístico para inferir los niveles y características de la Población Económicamente Activa (PEA), por lo cual las estadísticas referentes a las especialidades médicas se pueden considerar como agregadas; sin embargo, los datos son de alta importancia –y validez estadística– para una aproximación a la dinámica actual del mercado de trabajo de los médicos especialistas en México.</w:t>
      </w:r>
    </w:p>
    <w:p w14:paraId="6B889070" w14:textId="7919C74C" w:rsidR="005B44CA" w:rsidRDefault="005B44CA" w:rsidP="005B44CA">
      <w:pPr>
        <w:spacing w:line="360" w:lineRule="auto"/>
        <w:jc w:val="both"/>
        <w:rPr>
          <w:rFonts w:ascii="Arial" w:hAnsi="Arial" w:cs="Arial"/>
        </w:rPr>
      </w:pPr>
      <w:r>
        <w:rPr>
          <w:rFonts w:ascii="Arial" w:hAnsi="Arial" w:cs="Arial"/>
        </w:rPr>
        <w:t>Para el IV Trimestre de 2018, la ENOE señala que el 100% de la población encuestada con estudios de posgrado en el campo de la Medicina es población ocupada</w:t>
      </w:r>
      <w:r>
        <w:rPr>
          <w:rStyle w:val="Refdenotaalpie"/>
          <w:rFonts w:ascii="Arial" w:hAnsi="Arial" w:cs="Arial"/>
        </w:rPr>
        <w:footnoteReference w:id="96"/>
      </w:r>
      <w:r>
        <w:rPr>
          <w:rFonts w:ascii="Arial" w:hAnsi="Arial" w:cs="Arial"/>
        </w:rPr>
        <w:t xml:space="preserve"> </w:t>
      </w:r>
      <w:r>
        <w:rPr>
          <w:rStyle w:val="Refdenotaalpie"/>
          <w:rFonts w:ascii="Arial" w:hAnsi="Arial" w:cs="Arial"/>
        </w:rPr>
        <w:footnoteReference w:id="97"/>
      </w:r>
      <w:r>
        <w:rPr>
          <w:rFonts w:ascii="Arial" w:hAnsi="Arial" w:cs="Arial"/>
        </w:rPr>
        <w:t xml:space="preserve">. Sin embargo, la ANM estima que la tasa de desempleo abierto para los médicos especialistas en el país es aproximadamente 15% –aun cuando en el ámbito rural y otras regiones del país el sesgo de los especialistas aún permanece sin llenar. Adicionalmente, Nigenda </w:t>
      </w:r>
      <w:r w:rsidR="00063D0E">
        <w:rPr>
          <w:rFonts w:ascii="Arial" w:hAnsi="Arial" w:cs="Arial"/>
          <w:i/>
        </w:rPr>
        <w:t>et</w:t>
      </w:r>
      <w:r w:rsidRPr="005C538D">
        <w:rPr>
          <w:rFonts w:ascii="Arial" w:hAnsi="Arial" w:cs="Arial"/>
          <w:i/>
        </w:rPr>
        <w:t xml:space="preserve"> al.</w:t>
      </w:r>
      <w:r>
        <w:rPr>
          <w:rFonts w:ascii="Arial" w:hAnsi="Arial" w:cs="Arial"/>
        </w:rPr>
        <w:t xml:space="preserve"> señalan problemas de ineficiencia en la inserción de los médicos –generales y especialistas– al </w:t>
      </w:r>
      <w:r>
        <w:rPr>
          <w:rFonts w:ascii="Arial" w:hAnsi="Arial" w:cs="Arial"/>
        </w:rPr>
        <w:lastRenderedPageBreak/>
        <w:t>mercado laboral; sus estimaciones sugieren que 87.7% de los médicos en el país están empleados, por otro lado 8.9% de estos profesionistas están en el subempleo y 3.4% en el desempleo, por lo cual hay un desperdicio de 12.3% de los médicos a nivel nacional</w:t>
      </w:r>
      <w:r>
        <w:rPr>
          <w:rStyle w:val="Refdenotaalpie"/>
          <w:rFonts w:ascii="Arial" w:hAnsi="Arial" w:cs="Arial"/>
        </w:rPr>
        <w:footnoteReference w:id="98"/>
      </w:r>
      <w:r>
        <w:rPr>
          <w:rFonts w:ascii="Arial" w:hAnsi="Arial" w:cs="Arial"/>
        </w:rPr>
        <w:t>. No obstante, las cifras anteriores señalan que los médicos en México se emplean en actividades altamente profesionales relacionadas a su campo de estudio; el alto  nivel de especialidad de la profesión, así como las restricciones legales para ejercer la Medicina sin cédula profesional, ha llevado a que una alta proporción de profesionistas encuentre empleo en ocupaciones altamente profesionalizadas</w:t>
      </w:r>
      <w:r>
        <w:rPr>
          <w:rStyle w:val="Refdenotaalpie"/>
          <w:rFonts w:ascii="Arial" w:hAnsi="Arial" w:cs="Arial"/>
        </w:rPr>
        <w:footnoteReference w:id="99"/>
      </w:r>
      <w:r>
        <w:rPr>
          <w:rFonts w:ascii="Arial" w:hAnsi="Arial" w:cs="Arial"/>
        </w:rPr>
        <w:t>. Al respecto, la ENOE muestra que 91.5% de los médicos con estudios de posgrado trabajan en el sector de actividades “Servicios sociales”, en el cual se inserta la práctica médica y educativa; en una menor proporción están aquellos que laboran en s</w:t>
      </w:r>
      <w:r w:rsidRPr="00DD4876">
        <w:rPr>
          <w:rFonts w:ascii="Arial" w:hAnsi="Arial" w:cs="Arial"/>
        </w:rPr>
        <w:t>ervicios profesionales, financieros y corporativos</w:t>
      </w:r>
      <w:r>
        <w:rPr>
          <w:rFonts w:ascii="Arial" w:hAnsi="Arial" w:cs="Arial"/>
        </w:rPr>
        <w:t xml:space="preserve"> (4%), g</w:t>
      </w:r>
      <w:r w:rsidRPr="00DD4876">
        <w:rPr>
          <w:rFonts w:ascii="Arial" w:hAnsi="Arial" w:cs="Arial"/>
        </w:rPr>
        <w:t>obierno y organismos internacionales</w:t>
      </w:r>
      <w:r>
        <w:rPr>
          <w:rFonts w:ascii="Arial" w:hAnsi="Arial" w:cs="Arial"/>
        </w:rPr>
        <w:t xml:space="preserve"> (2.5%) y otras actividades (2%)</w:t>
      </w:r>
      <w:r>
        <w:rPr>
          <w:rStyle w:val="Refdenotaalpie"/>
          <w:rFonts w:ascii="Arial" w:hAnsi="Arial" w:cs="Arial"/>
        </w:rPr>
        <w:footnoteReference w:id="100"/>
      </w:r>
      <w:r>
        <w:rPr>
          <w:rFonts w:ascii="Arial" w:hAnsi="Arial" w:cs="Arial"/>
        </w:rPr>
        <w:t>.</w:t>
      </w:r>
    </w:p>
    <w:p w14:paraId="711A1AB0" w14:textId="3F78E3C8" w:rsidR="005B44CA" w:rsidRPr="00DA219B" w:rsidRDefault="005B44CA" w:rsidP="005B44CA">
      <w:pPr>
        <w:spacing w:line="360" w:lineRule="auto"/>
        <w:jc w:val="center"/>
        <w:rPr>
          <w:rFonts w:ascii="Arial" w:hAnsi="Arial" w:cs="Arial"/>
          <w:b/>
        </w:rPr>
      </w:pPr>
      <w:r w:rsidRPr="00DA219B">
        <w:rPr>
          <w:rFonts w:ascii="Arial" w:hAnsi="Arial" w:cs="Arial"/>
          <w:b/>
        </w:rPr>
        <w:t>Gráfica</w:t>
      </w:r>
      <w:r w:rsidR="0019648E">
        <w:rPr>
          <w:rFonts w:ascii="Arial" w:hAnsi="Arial" w:cs="Arial"/>
          <w:b/>
        </w:rPr>
        <w:t xml:space="preserve"> </w:t>
      </w:r>
      <w:r w:rsidR="00396BFB">
        <w:rPr>
          <w:rFonts w:ascii="Arial" w:hAnsi="Arial" w:cs="Arial"/>
          <w:b/>
        </w:rPr>
        <w:t>8</w:t>
      </w:r>
      <w:r w:rsidRPr="00DA219B">
        <w:rPr>
          <w:rFonts w:ascii="Arial" w:hAnsi="Arial" w:cs="Arial"/>
          <w:b/>
        </w:rPr>
        <w:t xml:space="preserve">. Distribución de la población ocupada con estudios </w:t>
      </w:r>
      <w:r>
        <w:rPr>
          <w:rFonts w:ascii="Arial" w:hAnsi="Arial" w:cs="Arial"/>
          <w:b/>
        </w:rPr>
        <w:t>de posgrado en Medicina según sector de actividad, México 2018 (IV T</w:t>
      </w:r>
      <w:r w:rsidRPr="00DA219B">
        <w:rPr>
          <w:rFonts w:ascii="Arial" w:hAnsi="Arial" w:cs="Arial"/>
          <w:b/>
        </w:rPr>
        <w:t>rimestre).</w:t>
      </w:r>
    </w:p>
    <w:p w14:paraId="117EC867" w14:textId="06F6B4E5" w:rsidR="005B44CA" w:rsidRDefault="005B44CA" w:rsidP="005B44CA">
      <w:pPr>
        <w:spacing w:line="360" w:lineRule="auto"/>
        <w:jc w:val="center"/>
        <w:rPr>
          <w:rFonts w:ascii="Arial" w:hAnsi="Arial" w:cs="Arial"/>
        </w:rPr>
      </w:pPr>
      <w:r>
        <w:rPr>
          <w:noProof/>
          <w:lang w:eastAsia="es-MX"/>
        </w:rPr>
        <w:drawing>
          <wp:inline distT="0" distB="0" distL="0" distR="0" wp14:anchorId="61DA19E5" wp14:editId="2D4F24E1">
            <wp:extent cx="4572000" cy="2801722"/>
            <wp:effectExtent l="0" t="0" r="0" b="17780"/>
            <wp:docPr id="20" name="Gráfico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47DAD1A3" w14:textId="1AF9CC7A" w:rsidR="005B44CA" w:rsidRPr="00B13AFE" w:rsidRDefault="00396BFB" w:rsidP="005B44CA">
      <w:pPr>
        <w:spacing w:line="360" w:lineRule="auto"/>
        <w:ind w:left="708" w:firstLine="708"/>
        <w:jc w:val="both"/>
        <w:rPr>
          <w:rFonts w:ascii="Arial" w:hAnsi="Arial" w:cs="Arial"/>
          <w:sz w:val="20"/>
        </w:rPr>
      </w:pPr>
      <w:r>
        <w:rPr>
          <w:rFonts w:ascii="Arial" w:hAnsi="Arial" w:cs="Arial"/>
          <w:b/>
          <w:sz w:val="20"/>
        </w:rPr>
        <w:t xml:space="preserve">        </w:t>
      </w:r>
      <w:r w:rsidR="005B44CA" w:rsidRPr="00B13AFE">
        <w:rPr>
          <w:rFonts w:ascii="Arial" w:hAnsi="Arial" w:cs="Arial"/>
          <w:b/>
          <w:sz w:val="20"/>
        </w:rPr>
        <w:t>Fuente:</w:t>
      </w:r>
      <w:r w:rsidR="005B44CA">
        <w:rPr>
          <w:rFonts w:ascii="Arial" w:hAnsi="Arial" w:cs="Arial"/>
          <w:sz w:val="20"/>
        </w:rPr>
        <w:t xml:space="preserve"> Elaboración propia con base en INEGI (2019a).</w:t>
      </w:r>
    </w:p>
    <w:p w14:paraId="30A9393A" w14:textId="77777777" w:rsidR="005B44CA" w:rsidRDefault="005B44CA" w:rsidP="005B44CA">
      <w:pPr>
        <w:spacing w:line="360" w:lineRule="auto"/>
        <w:jc w:val="both"/>
        <w:rPr>
          <w:rFonts w:ascii="Arial" w:hAnsi="Arial" w:cs="Arial"/>
        </w:rPr>
      </w:pPr>
      <w:r>
        <w:rPr>
          <w:rFonts w:ascii="Arial" w:hAnsi="Arial" w:cs="Arial"/>
        </w:rPr>
        <w:lastRenderedPageBreak/>
        <w:t>En cuanto a la posición de la ocupación de los médicos con estudios de posgrado, la mayoría se constituye como t</w:t>
      </w:r>
      <w:r w:rsidRPr="00DA4049">
        <w:rPr>
          <w:rFonts w:ascii="Arial" w:hAnsi="Arial" w:cs="Arial"/>
        </w:rPr>
        <w:t>rabajadores subordinados y remunerados</w:t>
      </w:r>
      <w:r>
        <w:rPr>
          <w:rFonts w:ascii="Arial" w:hAnsi="Arial" w:cs="Arial"/>
        </w:rPr>
        <w:t xml:space="preserve"> (69%), en menor proporción están aquellos que son empleadores (15.3%) y trabajadores por cuenta propia (15.2%)</w:t>
      </w:r>
      <w:r>
        <w:rPr>
          <w:rStyle w:val="Refdenotaalpie"/>
          <w:rFonts w:ascii="Arial" w:hAnsi="Arial" w:cs="Arial"/>
        </w:rPr>
        <w:footnoteReference w:id="101"/>
      </w:r>
      <w:r>
        <w:rPr>
          <w:rFonts w:ascii="Arial" w:hAnsi="Arial" w:cs="Arial"/>
        </w:rPr>
        <w:t xml:space="preserve">. </w:t>
      </w:r>
    </w:p>
    <w:p w14:paraId="6999EC00" w14:textId="6A1AE90F" w:rsidR="005B44CA" w:rsidRPr="00DA219B" w:rsidRDefault="005B44CA" w:rsidP="005B44CA">
      <w:pPr>
        <w:spacing w:line="360" w:lineRule="auto"/>
        <w:jc w:val="center"/>
        <w:rPr>
          <w:rFonts w:ascii="Arial" w:hAnsi="Arial" w:cs="Arial"/>
          <w:b/>
        </w:rPr>
      </w:pPr>
      <w:r w:rsidRPr="00DA219B">
        <w:rPr>
          <w:rFonts w:ascii="Arial" w:hAnsi="Arial" w:cs="Arial"/>
          <w:b/>
        </w:rPr>
        <w:t>Gráfica</w:t>
      </w:r>
      <w:r w:rsidR="0019648E">
        <w:rPr>
          <w:rFonts w:ascii="Arial" w:hAnsi="Arial" w:cs="Arial"/>
          <w:b/>
        </w:rPr>
        <w:t xml:space="preserve"> </w:t>
      </w:r>
      <w:r w:rsidR="00396BFB">
        <w:rPr>
          <w:rFonts w:ascii="Arial" w:hAnsi="Arial" w:cs="Arial"/>
          <w:b/>
        </w:rPr>
        <w:t>9</w:t>
      </w:r>
      <w:r w:rsidRPr="00DA219B">
        <w:rPr>
          <w:rFonts w:ascii="Arial" w:hAnsi="Arial" w:cs="Arial"/>
          <w:b/>
        </w:rPr>
        <w:t xml:space="preserve">. Distribución de la población ocupada con estudios </w:t>
      </w:r>
      <w:r>
        <w:rPr>
          <w:rFonts w:ascii="Arial" w:hAnsi="Arial" w:cs="Arial"/>
          <w:b/>
        </w:rPr>
        <w:t>de posgrado en Medicina según posición en la ocupación, México 2018 (IV T</w:t>
      </w:r>
      <w:r w:rsidRPr="00DA219B">
        <w:rPr>
          <w:rFonts w:ascii="Arial" w:hAnsi="Arial" w:cs="Arial"/>
          <w:b/>
        </w:rPr>
        <w:t>rimestre).</w:t>
      </w:r>
    </w:p>
    <w:p w14:paraId="50FFAE6A" w14:textId="77777777" w:rsidR="005B44CA" w:rsidRDefault="005B44CA" w:rsidP="005B44CA">
      <w:pPr>
        <w:spacing w:line="360" w:lineRule="auto"/>
        <w:jc w:val="center"/>
        <w:rPr>
          <w:rFonts w:ascii="Arial" w:hAnsi="Arial" w:cs="Arial"/>
        </w:rPr>
      </w:pPr>
      <w:r>
        <w:rPr>
          <w:noProof/>
          <w:lang w:eastAsia="es-MX"/>
        </w:rPr>
        <w:drawing>
          <wp:inline distT="0" distB="0" distL="0" distR="0" wp14:anchorId="7D30CE76" wp14:editId="546D7675">
            <wp:extent cx="4572000" cy="2743200"/>
            <wp:effectExtent l="0" t="0" r="0" b="0"/>
            <wp:docPr id="26" name="Gráfico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7BD3005B" w14:textId="1490394C" w:rsidR="005B44CA" w:rsidRPr="00B13AFE" w:rsidRDefault="00396BFB" w:rsidP="005B44CA">
      <w:pPr>
        <w:spacing w:line="360" w:lineRule="auto"/>
        <w:ind w:left="708" w:firstLine="708"/>
        <w:jc w:val="both"/>
        <w:rPr>
          <w:rFonts w:ascii="Arial" w:hAnsi="Arial" w:cs="Arial"/>
          <w:sz w:val="20"/>
        </w:rPr>
      </w:pPr>
      <w:r>
        <w:rPr>
          <w:rFonts w:ascii="Arial" w:hAnsi="Arial" w:cs="Arial"/>
          <w:b/>
          <w:sz w:val="20"/>
        </w:rPr>
        <w:t xml:space="preserve">         </w:t>
      </w:r>
      <w:r w:rsidR="005B44CA" w:rsidRPr="00B13AFE">
        <w:rPr>
          <w:rFonts w:ascii="Arial" w:hAnsi="Arial" w:cs="Arial"/>
          <w:b/>
          <w:sz w:val="20"/>
        </w:rPr>
        <w:t>Fuente:</w:t>
      </w:r>
      <w:r w:rsidR="005B44CA">
        <w:rPr>
          <w:rFonts w:ascii="Arial" w:hAnsi="Arial" w:cs="Arial"/>
          <w:sz w:val="20"/>
        </w:rPr>
        <w:t xml:space="preserve"> Elaboración propia con base en INEGI (2019a).</w:t>
      </w:r>
    </w:p>
    <w:p w14:paraId="68C199D1" w14:textId="77777777" w:rsidR="005B44CA" w:rsidRDefault="005B44CA" w:rsidP="005B44CA">
      <w:pPr>
        <w:spacing w:line="360" w:lineRule="auto"/>
        <w:jc w:val="both"/>
        <w:rPr>
          <w:rFonts w:ascii="Arial" w:hAnsi="Arial" w:cs="Arial"/>
        </w:rPr>
      </w:pPr>
      <w:r>
        <w:rPr>
          <w:rFonts w:ascii="Arial" w:hAnsi="Arial" w:cs="Arial"/>
        </w:rPr>
        <w:t>Respecto a las percepciones económicas, la mayoría de la población encuestada (64.4%) recibe –en promedio– más de 5 Salarios Mínimos Mensuales (SMM); otro 26.9% de dicha población tiene un ingreso promedio de 26.9% de 3-5 SMM y sólo 8.8% de ellos recibe menos de 3 SMM</w:t>
      </w:r>
      <w:r>
        <w:rPr>
          <w:rStyle w:val="Refdenotaalpie"/>
          <w:rFonts w:ascii="Arial" w:hAnsi="Arial" w:cs="Arial"/>
        </w:rPr>
        <w:footnoteReference w:id="102"/>
      </w:r>
      <w:r>
        <w:rPr>
          <w:rFonts w:ascii="Arial" w:hAnsi="Arial" w:cs="Arial"/>
        </w:rPr>
        <w:t xml:space="preserve">. </w:t>
      </w:r>
    </w:p>
    <w:p w14:paraId="6636E361" w14:textId="77777777" w:rsidR="005B44CA" w:rsidRDefault="005B44CA" w:rsidP="005B44CA">
      <w:pPr>
        <w:spacing w:line="240" w:lineRule="auto"/>
        <w:jc w:val="center"/>
        <w:rPr>
          <w:rFonts w:ascii="Arial" w:hAnsi="Arial" w:cs="Arial"/>
          <w:b/>
        </w:rPr>
      </w:pPr>
    </w:p>
    <w:p w14:paraId="62BDF520" w14:textId="77777777" w:rsidR="005B44CA" w:rsidRDefault="005B44CA" w:rsidP="005B44CA">
      <w:pPr>
        <w:spacing w:line="240" w:lineRule="auto"/>
        <w:jc w:val="center"/>
        <w:rPr>
          <w:rFonts w:ascii="Arial" w:hAnsi="Arial" w:cs="Arial"/>
          <w:b/>
        </w:rPr>
      </w:pPr>
    </w:p>
    <w:p w14:paraId="2C71B441" w14:textId="77777777" w:rsidR="005B44CA" w:rsidRDefault="005B44CA" w:rsidP="005B44CA">
      <w:pPr>
        <w:spacing w:line="240" w:lineRule="auto"/>
        <w:jc w:val="center"/>
        <w:rPr>
          <w:rFonts w:ascii="Arial" w:hAnsi="Arial" w:cs="Arial"/>
          <w:b/>
        </w:rPr>
      </w:pPr>
    </w:p>
    <w:p w14:paraId="211CDD1C" w14:textId="77777777" w:rsidR="005B44CA" w:rsidRDefault="005B44CA" w:rsidP="005B44CA">
      <w:pPr>
        <w:spacing w:line="240" w:lineRule="auto"/>
        <w:jc w:val="center"/>
        <w:rPr>
          <w:rFonts w:ascii="Arial" w:hAnsi="Arial" w:cs="Arial"/>
          <w:b/>
        </w:rPr>
      </w:pPr>
    </w:p>
    <w:p w14:paraId="6B5B3730" w14:textId="77777777" w:rsidR="005B44CA" w:rsidRDefault="005B44CA" w:rsidP="005B44CA">
      <w:pPr>
        <w:spacing w:line="240" w:lineRule="auto"/>
        <w:jc w:val="center"/>
        <w:rPr>
          <w:rFonts w:ascii="Arial" w:hAnsi="Arial" w:cs="Arial"/>
          <w:b/>
        </w:rPr>
      </w:pPr>
    </w:p>
    <w:p w14:paraId="2561193C" w14:textId="77777777" w:rsidR="005B44CA" w:rsidRDefault="005B44CA" w:rsidP="005B44CA">
      <w:pPr>
        <w:spacing w:line="240" w:lineRule="auto"/>
        <w:jc w:val="center"/>
        <w:rPr>
          <w:rFonts w:ascii="Arial" w:hAnsi="Arial" w:cs="Arial"/>
          <w:b/>
        </w:rPr>
      </w:pPr>
    </w:p>
    <w:p w14:paraId="21CB3C42" w14:textId="41F949B8" w:rsidR="005B44CA" w:rsidRPr="00DA219B" w:rsidRDefault="005B44CA" w:rsidP="005B44CA">
      <w:pPr>
        <w:spacing w:line="240" w:lineRule="auto"/>
        <w:jc w:val="center"/>
        <w:rPr>
          <w:rFonts w:ascii="Arial" w:hAnsi="Arial" w:cs="Arial"/>
          <w:b/>
        </w:rPr>
      </w:pPr>
      <w:r w:rsidRPr="00DA219B">
        <w:rPr>
          <w:rFonts w:ascii="Arial" w:hAnsi="Arial" w:cs="Arial"/>
          <w:b/>
        </w:rPr>
        <w:lastRenderedPageBreak/>
        <w:t>Gráfica</w:t>
      </w:r>
      <w:r w:rsidR="00245744">
        <w:rPr>
          <w:rFonts w:ascii="Arial" w:hAnsi="Arial" w:cs="Arial"/>
          <w:b/>
        </w:rPr>
        <w:t xml:space="preserve"> </w:t>
      </w:r>
      <w:r w:rsidR="00396BFB">
        <w:rPr>
          <w:rFonts w:ascii="Arial" w:hAnsi="Arial" w:cs="Arial"/>
          <w:b/>
        </w:rPr>
        <w:t>10</w:t>
      </w:r>
      <w:r w:rsidRPr="00DA219B">
        <w:rPr>
          <w:rFonts w:ascii="Arial" w:hAnsi="Arial" w:cs="Arial"/>
          <w:b/>
        </w:rPr>
        <w:t xml:space="preserve">. </w:t>
      </w:r>
      <w:r>
        <w:rPr>
          <w:rFonts w:ascii="Arial" w:hAnsi="Arial" w:cs="Arial"/>
          <w:b/>
        </w:rPr>
        <w:t xml:space="preserve">Distribución de </w:t>
      </w:r>
      <w:r w:rsidRPr="00DA219B">
        <w:rPr>
          <w:rFonts w:ascii="Arial" w:hAnsi="Arial" w:cs="Arial"/>
          <w:b/>
        </w:rPr>
        <w:t xml:space="preserve">la población ocupada con estudios </w:t>
      </w:r>
      <w:r>
        <w:rPr>
          <w:rFonts w:ascii="Arial" w:hAnsi="Arial" w:cs="Arial"/>
          <w:b/>
        </w:rPr>
        <w:t>de posgrado en Medicina según sus ingresos económicos mensuales</w:t>
      </w:r>
      <w:r w:rsidRPr="00DA219B">
        <w:rPr>
          <w:rFonts w:ascii="Arial" w:hAnsi="Arial" w:cs="Arial"/>
          <w:b/>
        </w:rPr>
        <w:t xml:space="preserve">, </w:t>
      </w:r>
      <w:r>
        <w:rPr>
          <w:rFonts w:ascii="Arial" w:hAnsi="Arial" w:cs="Arial"/>
          <w:b/>
        </w:rPr>
        <w:t>México 2018 (IV T</w:t>
      </w:r>
      <w:r w:rsidRPr="00DA219B">
        <w:rPr>
          <w:rFonts w:ascii="Arial" w:hAnsi="Arial" w:cs="Arial"/>
          <w:b/>
        </w:rPr>
        <w:t>rimestre).</w:t>
      </w:r>
    </w:p>
    <w:p w14:paraId="0CD37FC7" w14:textId="77777777" w:rsidR="005B44CA" w:rsidRDefault="005B44CA" w:rsidP="005B44CA">
      <w:pPr>
        <w:spacing w:line="360" w:lineRule="auto"/>
        <w:jc w:val="center"/>
        <w:rPr>
          <w:rFonts w:ascii="Arial" w:hAnsi="Arial" w:cs="Arial"/>
        </w:rPr>
      </w:pPr>
      <w:r>
        <w:rPr>
          <w:noProof/>
          <w:lang w:eastAsia="es-MX"/>
        </w:rPr>
        <w:drawing>
          <wp:inline distT="0" distB="0" distL="0" distR="0" wp14:anchorId="06664E6F" wp14:editId="1DDBA954">
            <wp:extent cx="4572000" cy="2743200"/>
            <wp:effectExtent l="0" t="0" r="0" b="0"/>
            <wp:docPr id="27" name="Gráfico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28D9B9EE" w14:textId="13657173" w:rsidR="005B44CA" w:rsidRPr="009F3F6B" w:rsidRDefault="00396BFB" w:rsidP="005B44CA">
      <w:pPr>
        <w:spacing w:line="360" w:lineRule="auto"/>
        <w:ind w:left="708" w:firstLine="708"/>
        <w:jc w:val="both"/>
        <w:rPr>
          <w:rFonts w:ascii="Arial" w:hAnsi="Arial" w:cs="Arial"/>
          <w:sz w:val="20"/>
        </w:rPr>
      </w:pPr>
      <w:r>
        <w:rPr>
          <w:rFonts w:ascii="Arial" w:hAnsi="Arial" w:cs="Arial"/>
          <w:b/>
          <w:sz w:val="20"/>
        </w:rPr>
        <w:t xml:space="preserve">       </w:t>
      </w:r>
      <w:r w:rsidR="005B44CA" w:rsidRPr="00B13AFE">
        <w:rPr>
          <w:rFonts w:ascii="Arial" w:hAnsi="Arial" w:cs="Arial"/>
          <w:b/>
          <w:sz w:val="20"/>
        </w:rPr>
        <w:t>Fuente:</w:t>
      </w:r>
      <w:r w:rsidR="005B44CA">
        <w:rPr>
          <w:rFonts w:ascii="Arial" w:hAnsi="Arial" w:cs="Arial"/>
          <w:sz w:val="20"/>
        </w:rPr>
        <w:t xml:space="preserve"> Elaboración propia con base en INEGI (2019a).</w:t>
      </w:r>
    </w:p>
    <w:p w14:paraId="034B3984" w14:textId="77777777" w:rsidR="0071010C" w:rsidRPr="00F17473" w:rsidRDefault="005B44CA" w:rsidP="0071010C">
      <w:pPr>
        <w:spacing w:line="360" w:lineRule="auto"/>
        <w:jc w:val="both"/>
        <w:rPr>
          <w:rFonts w:ascii="Arial" w:hAnsi="Arial" w:cs="Arial"/>
          <w:b/>
        </w:rPr>
      </w:pPr>
      <w:r>
        <w:rPr>
          <w:rFonts w:ascii="Arial" w:hAnsi="Arial" w:cs="Arial"/>
          <w:b/>
        </w:rPr>
        <w:t>V</w:t>
      </w:r>
      <w:r w:rsidR="006046FB">
        <w:rPr>
          <w:rFonts w:ascii="Arial" w:hAnsi="Arial" w:cs="Arial"/>
          <w:b/>
        </w:rPr>
        <w:t>I</w:t>
      </w:r>
      <w:r>
        <w:rPr>
          <w:rFonts w:ascii="Arial" w:hAnsi="Arial" w:cs="Arial"/>
          <w:b/>
        </w:rPr>
        <w:t xml:space="preserve">. </w:t>
      </w:r>
      <w:r w:rsidR="0071010C" w:rsidRPr="00F17473">
        <w:rPr>
          <w:rFonts w:ascii="Arial" w:hAnsi="Arial" w:cs="Arial"/>
          <w:b/>
        </w:rPr>
        <w:t xml:space="preserve">OFERTA EDUCATIVA </w:t>
      </w:r>
    </w:p>
    <w:p w14:paraId="082C49BF" w14:textId="19711AF2" w:rsidR="00B207D0" w:rsidRPr="00642DED" w:rsidRDefault="00B207D0" w:rsidP="007C0B53">
      <w:pPr>
        <w:spacing w:line="360" w:lineRule="auto"/>
        <w:jc w:val="both"/>
        <w:rPr>
          <w:rFonts w:ascii="Arial" w:hAnsi="Arial" w:cs="Arial"/>
        </w:rPr>
      </w:pPr>
      <w:r w:rsidRPr="00642DED">
        <w:rPr>
          <w:rFonts w:ascii="Arial" w:hAnsi="Arial" w:cs="Arial"/>
        </w:rPr>
        <w:t xml:space="preserve">El Instituto Nacional de Salud Pública con el objetivo de indagar sobre la falta de recursos humanos en el primer nivel de atención se dio a la tarea de realizar un trabajo de investigación que pudiera explicar algunos de los factores que inciden en dicha problemática. Bajo dicho contexto, surge el documento de </w:t>
      </w:r>
      <w:r w:rsidRPr="00642DED">
        <w:rPr>
          <w:rFonts w:ascii="Arial" w:hAnsi="Arial" w:cs="Arial"/>
          <w:i/>
        </w:rPr>
        <w:t xml:space="preserve">Brechas en la Disponibilidad de Médicos y Enfermeras Especialistas en el Sistema Nacional de Salud </w:t>
      </w:r>
      <w:r w:rsidRPr="00642DED">
        <w:rPr>
          <w:rFonts w:ascii="Arial" w:hAnsi="Arial" w:cs="Arial"/>
        </w:rPr>
        <w:t>en 2017</w:t>
      </w:r>
      <w:r w:rsidR="008A3720">
        <w:rPr>
          <w:rStyle w:val="Refdenotaalpie"/>
          <w:rFonts w:ascii="Arial" w:hAnsi="Arial" w:cs="Arial"/>
        </w:rPr>
        <w:footnoteReference w:id="103"/>
      </w:r>
      <w:r w:rsidRPr="00642DED">
        <w:rPr>
          <w:rFonts w:ascii="Arial" w:hAnsi="Arial" w:cs="Arial"/>
        </w:rPr>
        <w:t>, en el cual se exponen los resultados de un estudio que tomó en cuenta la interacción e impacto de diferentes variables como la carga de la enfermedad y la demanda de atención, así como aspectos de oferta y demanda académica.</w:t>
      </w:r>
    </w:p>
    <w:p w14:paraId="2615D385" w14:textId="3BC504E5" w:rsidR="00B207D0" w:rsidRPr="00642DED" w:rsidRDefault="00B207D0" w:rsidP="007C0B53">
      <w:pPr>
        <w:spacing w:line="360" w:lineRule="auto"/>
        <w:jc w:val="both"/>
        <w:rPr>
          <w:rFonts w:ascii="Arial" w:hAnsi="Arial" w:cs="Arial"/>
        </w:rPr>
      </w:pPr>
      <w:r w:rsidRPr="00642DED">
        <w:rPr>
          <w:rFonts w:ascii="Arial" w:hAnsi="Arial" w:cs="Arial"/>
        </w:rPr>
        <w:t>Si bien el objetivo</w:t>
      </w:r>
      <w:r>
        <w:rPr>
          <w:rFonts w:ascii="Arial" w:hAnsi="Arial" w:cs="Arial"/>
        </w:rPr>
        <w:t xml:space="preserve"> primordial del presente apartado</w:t>
      </w:r>
      <w:r w:rsidRPr="00642DED">
        <w:rPr>
          <w:rFonts w:ascii="Arial" w:hAnsi="Arial" w:cs="Arial"/>
        </w:rPr>
        <w:t xml:space="preserve"> es exponer el panorama de la oferta académica naciona</w:t>
      </w:r>
      <w:r w:rsidR="001A2039">
        <w:rPr>
          <w:rFonts w:ascii="Arial" w:hAnsi="Arial" w:cs="Arial"/>
        </w:rPr>
        <w:t>l de la Subespecialidad en Neonat</w:t>
      </w:r>
      <w:r w:rsidRPr="00642DED">
        <w:rPr>
          <w:rFonts w:ascii="Arial" w:hAnsi="Arial" w:cs="Arial"/>
        </w:rPr>
        <w:t xml:space="preserve">ología, primero se abordarán algunos aspectos generales de las especialidades médicas que servirán de referentes.  </w:t>
      </w:r>
    </w:p>
    <w:p w14:paraId="2E605276" w14:textId="788BED35" w:rsidR="00B207D0" w:rsidRDefault="001A2039" w:rsidP="007C0B53">
      <w:pPr>
        <w:spacing w:line="360" w:lineRule="auto"/>
        <w:jc w:val="both"/>
        <w:rPr>
          <w:rFonts w:ascii="Arial" w:hAnsi="Arial" w:cs="Arial"/>
        </w:rPr>
      </w:pPr>
      <w:r w:rsidRPr="00F90E84">
        <w:rPr>
          <w:rFonts w:ascii="Arial" w:hAnsi="Arial" w:cs="Arial"/>
        </w:rPr>
        <w:t xml:space="preserve">En el caso de Neonatología, cabe destacar que es una Subespecialidad, es decir, sólo pueden ingresar aquellos profesionales que han estudiado previamente Pediatría, por tal </w:t>
      </w:r>
      <w:r w:rsidRPr="00F90E84">
        <w:rPr>
          <w:rFonts w:ascii="Arial" w:hAnsi="Arial" w:cs="Arial"/>
        </w:rPr>
        <w:lastRenderedPageBreak/>
        <w:t>motivo a continuación se abordarán algunos aspectos de dicha Especialidad que darán contexto a la Subespecialidad en Neonatología</w:t>
      </w:r>
      <w:r>
        <w:rPr>
          <w:rFonts w:ascii="Arial" w:hAnsi="Arial" w:cs="Arial"/>
        </w:rPr>
        <w:t xml:space="preserve">. </w:t>
      </w:r>
      <w:r w:rsidR="00B207D0" w:rsidRPr="00642DED">
        <w:rPr>
          <w:rFonts w:ascii="Arial" w:hAnsi="Arial" w:cs="Arial"/>
        </w:rPr>
        <w:t xml:space="preserve">En el documento de </w:t>
      </w:r>
      <w:r w:rsidR="00B207D0" w:rsidRPr="00642DED">
        <w:rPr>
          <w:rFonts w:ascii="Arial" w:hAnsi="Arial" w:cs="Arial"/>
          <w:i/>
        </w:rPr>
        <w:t xml:space="preserve">Brechas en la Disponibilidad, </w:t>
      </w:r>
      <w:r w:rsidR="00B207D0" w:rsidRPr="00642DED">
        <w:rPr>
          <w:rFonts w:ascii="Arial" w:hAnsi="Arial" w:cs="Arial"/>
        </w:rPr>
        <w:t>se estudiaron tanto la oferta como la demanda en un periodo de siete años, de 2009 a 2016. Algunos de los datos se encuentran en la Tabla 1.</w:t>
      </w:r>
    </w:p>
    <w:p w14:paraId="404834BC" w14:textId="77777777" w:rsidR="00B207D0" w:rsidRPr="006A1B3A" w:rsidRDefault="00B207D0" w:rsidP="007C0B53">
      <w:pPr>
        <w:jc w:val="center"/>
        <w:rPr>
          <w:rFonts w:ascii="Indivisa Text Sans" w:hAnsi="Indivisa Text Sans"/>
          <w:b/>
        </w:rPr>
      </w:pPr>
      <w:r w:rsidRPr="00642DED">
        <w:rPr>
          <w:rFonts w:ascii="Arial" w:hAnsi="Arial" w:cs="Arial"/>
          <w:b/>
        </w:rPr>
        <w:t>Tabla 1. Oferta y Demanda Académica de las Especialidades Médicas a Nivel Nacional de 2009 a 2016.</w:t>
      </w:r>
    </w:p>
    <w:tbl>
      <w:tblPr>
        <w:tblStyle w:val="Tablaconcuadrcula"/>
        <w:tblW w:w="0" w:type="auto"/>
        <w:jc w:val="center"/>
        <w:tblLook w:val="04A0" w:firstRow="1" w:lastRow="0" w:firstColumn="1" w:lastColumn="0" w:noHBand="0" w:noVBand="1"/>
      </w:tblPr>
      <w:tblGrid>
        <w:gridCol w:w="4414"/>
        <w:gridCol w:w="4414"/>
      </w:tblGrid>
      <w:tr w:rsidR="00B207D0" w:rsidRPr="006A1B3A" w14:paraId="1825F008" w14:textId="77777777" w:rsidTr="00B207D0">
        <w:trPr>
          <w:tblHeader/>
          <w:jc w:val="center"/>
        </w:trPr>
        <w:tc>
          <w:tcPr>
            <w:tcW w:w="4414" w:type="dxa"/>
            <w:shd w:val="clear" w:color="auto" w:fill="2F5496" w:themeFill="accent5" w:themeFillShade="BF"/>
          </w:tcPr>
          <w:p w14:paraId="2D1BEF28" w14:textId="77777777" w:rsidR="00B207D0" w:rsidRPr="00642DED" w:rsidRDefault="00B207D0" w:rsidP="00B207D0">
            <w:pPr>
              <w:jc w:val="center"/>
              <w:rPr>
                <w:rFonts w:ascii="Arial" w:hAnsi="Arial" w:cs="Arial"/>
                <w:b/>
                <w:color w:val="FFFFFF" w:themeColor="background1"/>
                <w:sz w:val="20"/>
                <w:szCs w:val="20"/>
              </w:rPr>
            </w:pPr>
            <w:r w:rsidRPr="00642DED">
              <w:rPr>
                <w:rFonts w:ascii="Arial" w:hAnsi="Arial" w:cs="Arial"/>
                <w:b/>
                <w:color w:val="FFFFFF" w:themeColor="background1"/>
                <w:sz w:val="20"/>
                <w:szCs w:val="20"/>
              </w:rPr>
              <w:t>DEMANDA</w:t>
            </w:r>
          </w:p>
        </w:tc>
        <w:tc>
          <w:tcPr>
            <w:tcW w:w="4414" w:type="dxa"/>
            <w:shd w:val="clear" w:color="auto" w:fill="2F5496" w:themeFill="accent5" w:themeFillShade="BF"/>
          </w:tcPr>
          <w:p w14:paraId="23B2A9B9" w14:textId="77777777" w:rsidR="00B207D0" w:rsidRPr="00642DED" w:rsidRDefault="00B207D0" w:rsidP="00B207D0">
            <w:pPr>
              <w:jc w:val="center"/>
              <w:rPr>
                <w:rFonts w:ascii="Arial" w:hAnsi="Arial" w:cs="Arial"/>
                <w:b/>
                <w:color w:val="FFFFFF" w:themeColor="background1"/>
                <w:sz w:val="20"/>
                <w:szCs w:val="20"/>
              </w:rPr>
            </w:pPr>
            <w:r w:rsidRPr="00642DED">
              <w:rPr>
                <w:rFonts w:ascii="Arial" w:hAnsi="Arial" w:cs="Arial"/>
                <w:b/>
                <w:color w:val="FFFFFF" w:themeColor="background1"/>
                <w:sz w:val="20"/>
                <w:szCs w:val="20"/>
              </w:rPr>
              <w:t>OFERTA</w:t>
            </w:r>
          </w:p>
        </w:tc>
      </w:tr>
      <w:tr w:rsidR="00B207D0" w:rsidRPr="006A1B3A" w14:paraId="0066B703" w14:textId="77777777" w:rsidTr="00B207D0">
        <w:trPr>
          <w:jc w:val="center"/>
        </w:trPr>
        <w:tc>
          <w:tcPr>
            <w:tcW w:w="4414" w:type="dxa"/>
          </w:tcPr>
          <w:p w14:paraId="027623E0" w14:textId="77777777" w:rsidR="00B207D0" w:rsidRPr="00642DED" w:rsidRDefault="00B207D0" w:rsidP="00B207D0">
            <w:pPr>
              <w:rPr>
                <w:rFonts w:ascii="Arial" w:hAnsi="Arial" w:cs="Arial"/>
                <w:sz w:val="20"/>
                <w:szCs w:val="20"/>
              </w:rPr>
            </w:pPr>
            <w:r w:rsidRPr="00642DED">
              <w:rPr>
                <w:rFonts w:ascii="Arial" w:hAnsi="Arial" w:cs="Arial"/>
                <w:b/>
                <w:sz w:val="20"/>
                <w:szCs w:val="20"/>
              </w:rPr>
              <w:t>224, 717</w:t>
            </w:r>
            <w:r w:rsidRPr="00642DED">
              <w:rPr>
                <w:rFonts w:ascii="Arial" w:hAnsi="Arial" w:cs="Arial"/>
                <w:sz w:val="20"/>
                <w:szCs w:val="20"/>
              </w:rPr>
              <w:t xml:space="preserve"> médicos generales buscaron obtener una plaza de especialidad.</w:t>
            </w:r>
          </w:p>
        </w:tc>
        <w:tc>
          <w:tcPr>
            <w:tcW w:w="4414" w:type="dxa"/>
          </w:tcPr>
          <w:p w14:paraId="094AE800" w14:textId="77777777" w:rsidR="00B207D0" w:rsidRPr="00642DED" w:rsidRDefault="00B207D0" w:rsidP="00B207D0">
            <w:pPr>
              <w:rPr>
                <w:rFonts w:ascii="Arial" w:hAnsi="Arial" w:cs="Arial"/>
                <w:sz w:val="20"/>
                <w:szCs w:val="20"/>
              </w:rPr>
            </w:pPr>
            <w:r w:rsidRPr="00642DED">
              <w:rPr>
                <w:rFonts w:ascii="Arial" w:hAnsi="Arial" w:cs="Arial"/>
                <w:sz w:val="20"/>
                <w:szCs w:val="20"/>
              </w:rPr>
              <w:t xml:space="preserve">Se ofertaron </w:t>
            </w:r>
            <w:r w:rsidRPr="00642DED">
              <w:rPr>
                <w:rFonts w:ascii="Arial" w:hAnsi="Arial" w:cs="Arial"/>
                <w:b/>
                <w:sz w:val="20"/>
                <w:szCs w:val="20"/>
              </w:rPr>
              <w:t>54, 353</w:t>
            </w:r>
            <w:r w:rsidRPr="00642DED">
              <w:rPr>
                <w:rFonts w:ascii="Arial" w:hAnsi="Arial" w:cs="Arial"/>
                <w:sz w:val="20"/>
                <w:szCs w:val="20"/>
              </w:rPr>
              <w:t xml:space="preserve"> plazas de especialidades médicas en el país.</w:t>
            </w:r>
          </w:p>
          <w:p w14:paraId="19B2EE25" w14:textId="77777777" w:rsidR="00B207D0" w:rsidRPr="00642DED" w:rsidRDefault="00B207D0" w:rsidP="00B207D0">
            <w:pPr>
              <w:jc w:val="both"/>
              <w:rPr>
                <w:rFonts w:ascii="Arial" w:hAnsi="Arial" w:cs="Arial"/>
                <w:sz w:val="20"/>
                <w:szCs w:val="20"/>
              </w:rPr>
            </w:pPr>
          </w:p>
        </w:tc>
      </w:tr>
      <w:tr w:rsidR="00B207D0" w:rsidRPr="006A1B3A" w14:paraId="4487D7B5" w14:textId="77777777" w:rsidTr="00B207D0">
        <w:trPr>
          <w:jc w:val="center"/>
        </w:trPr>
        <w:tc>
          <w:tcPr>
            <w:tcW w:w="4414" w:type="dxa"/>
          </w:tcPr>
          <w:p w14:paraId="7F878D72" w14:textId="77777777" w:rsidR="00B207D0" w:rsidRPr="00642DED" w:rsidRDefault="00B207D0" w:rsidP="00B207D0">
            <w:pPr>
              <w:jc w:val="both"/>
              <w:rPr>
                <w:rFonts w:ascii="Arial" w:hAnsi="Arial" w:cs="Arial"/>
                <w:sz w:val="20"/>
                <w:szCs w:val="20"/>
              </w:rPr>
            </w:pPr>
            <w:r w:rsidRPr="00642DED">
              <w:rPr>
                <w:rFonts w:ascii="Arial" w:hAnsi="Arial" w:cs="Arial"/>
                <w:sz w:val="20"/>
                <w:szCs w:val="20"/>
              </w:rPr>
              <w:t>Las 10 especialidades más demandadas fueron:</w:t>
            </w:r>
          </w:p>
          <w:p w14:paraId="0E4A3C14" w14:textId="77777777" w:rsidR="00B207D0" w:rsidRPr="00642DED" w:rsidRDefault="00B207D0" w:rsidP="00B207D0">
            <w:pPr>
              <w:pStyle w:val="Prrafodelista"/>
              <w:numPr>
                <w:ilvl w:val="0"/>
                <w:numId w:val="5"/>
              </w:numPr>
              <w:jc w:val="both"/>
              <w:rPr>
                <w:rFonts w:ascii="Arial" w:hAnsi="Arial" w:cs="Arial"/>
                <w:sz w:val="20"/>
                <w:szCs w:val="20"/>
              </w:rPr>
            </w:pPr>
            <w:r w:rsidRPr="00642DED">
              <w:rPr>
                <w:rFonts w:ascii="Arial" w:hAnsi="Arial" w:cs="Arial"/>
                <w:sz w:val="20"/>
                <w:szCs w:val="20"/>
              </w:rPr>
              <w:t>Cirugía General</w:t>
            </w:r>
          </w:p>
          <w:p w14:paraId="50EF7380" w14:textId="77777777" w:rsidR="00B207D0" w:rsidRPr="00642DED" w:rsidRDefault="00B207D0" w:rsidP="00B207D0">
            <w:pPr>
              <w:pStyle w:val="Prrafodelista"/>
              <w:numPr>
                <w:ilvl w:val="0"/>
                <w:numId w:val="5"/>
              </w:numPr>
              <w:jc w:val="both"/>
              <w:rPr>
                <w:rFonts w:ascii="Arial" w:hAnsi="Arial" w:cs="Arial"/>
                <w:sz w:val="20"/>
                <w:szCs w:val="20"/>
              </w:rPr>
            </w:pPr>
            <w:r w:rsidRPr="00642DED">
              <w:rPr>
                <w:rFonts w:ascii="Arial" w:hAnsi="Arial" w:cs="Arial"/>
                <w:sz w:val="20"/>
                <w:szCs w:val="20"/>
              </w:rPr>
              <w:t>Medicina Interna</w:t>
            </w:r>
          </w:p>
          <w:p w14:paraId="0D2EE419" w14:textId="77777777" w:rsidR="00B207D0" w:rsidRPr="00642DED" w:rsidRDefault="00B207D0" w:rsidP="00B207D0">
            <w:pPr>
              <w:pStyle w:val="Prrafodelista"/>
              <w:numPr>
                <w:ilvl w:val="0"/>
                <w:numId w:val="5"/>
              </w:numPr>
              <w:jc w:val="both"/>
              <w:rPr>
                <w:rFonts w:ascii="Arial" w:hAnsi="Arial" w:cs="Arial"/>
                <w:sz w:val="20"/>
                <w:szCs w:val="20"/>
              </w:rPr>
            </w:pPr>
            <w:r w:rsidRPr="00642DED">
              <w:rPr>
                <w:rFonts w:ascii="Arial" w:hAnsi="Arial" w:cs="Arial"/>
                <w:sz w:val="20"/>
                <w:szCs w:val="20"/>
              </w:rPr>
              <w:t>Pediatría</w:t>
            </w:r>
          </w:p>
          <w:p w14:paraId="5AF14A74" w14:textId="77777777" w:rsidR="00B207D0" w:rsidRPr="00642DED" w:rsidRDefault="00B207D0" w:rsidP="00B207D0">
            <w:pPr>
              <w:pStyle w:val="Prrafodelista"/>
              <w:numPr>
                <w:ilvl w:val="0"/>
                <w:numId w:val="5"/>
              </w:numPr>
              <w:jc w:val="both"/>
              <w:rPr>
                <w:rFonts w:ascii="Arial" w:hAnsi="Arial" w:cs="Arial"/>
                <w:sz w:val="20"/>
                <w:szCs w:val="20"/>
              </w:rPr>
            </w:pPr>
            <w:r w:rsidRPr="00642DED">
              <w:rPr>
                <w:rFonts w:ascii="Arial" w:hAnsi="Arial" w:cs="Arial"/>
                <w:sz w:val="20"/>
                <w:szCs w:val="20"/>
              </w:rPr>
              <w:t>Ginecología y Obstetricia</w:t>
            </w:r>
          </w:p>
          <w:p w14:paraId="75C226E5" w14:textId="77777777" w:rsidR="00B207D0" w:rsidRPr="00642DED" w:rsidRDefault="00B207D0" w:rsidP="00B207D0">
            <w:pPr>
              <w:pStyle w:val="Prrafodelista"/>
              <w:numPr>
                <w:ilvl w:val="0"/>
                <w:numId w:val="5"/>
              </w:numPr>
              <w:jc w:val="both"/>
              <w:rPr>
                <w:rFonts w:ascii="Arial" w:hAnsi="Arial" w:cs="Arial"/>
                <w:sz w:val="20"/>
                <w:szCs w:val="20"/>
              </w:rPr>
            </w:pPr>
            <w:r w:rsidRPr="00642DED">
              <w:rPr>
                <w:rFonts w:ascii="Arial" w:hAnsi="Arial" w:cs="Arial"/>
                <w:sz w:val="20"/>
                <w:szCs w:val="20"/>
              </w:rPr>
              <w:t>Medicina Familiar</w:t>
            </w:r>
          </w:p>
          <w:p w14:paraId="345B0877" w14:textId="77777777" w:rsidR="00B207D0" w:rsidRPr="00642DED" w:rsidRDefault="00B207D0" w:rsidP="00B207D0">
            <w:pPr>
              <w:pStyle w:val="Prrafodelista"/>
              <w:numPr>
                <w:ilvl w:val="0"/>
                <w:numId w:val="5"/>
              </w:numPr>
              <w:jc w:val="both"/>
              <w:rPr>
                <w:rFonts w:ascii="Arial" w:hAnsi="Arial" w:cs="Arial"/>
                <w:sz w:val="20"/>
                <w:szCs w:val="20"/>
              </w:rPr>
            </w:pPr>
            <w:r w:rsidRPr="00642DED">
              <w:rPr>
                <w:rFonts w:ascii="Arial" w:hAnsi="Arial" w:cs="Arial"/>
                <w:sz w:val="20"/>
                <w:szCs w:val="20"/>
              </w:rPr>
              <w:t>Anestesiología</w:t>
            </w:r>
          </w:p>
          <w:p w14:paraId="23609F04" w14:textId="77777777" w:rsidR="00B207D0" w:rsidRPr="00642DED" w:rsidRDefault="00B207D0" w:rsidP="00B207D0">
            <w:pPr>
              <w:pStyle w:val="Prrafodelista"/>
              <w:numPr>
                <w:ilvl w:val="0"/>
                <w:numId w:val="5"/>
              </w:numPr>
              <w:jc w:val="both"/>
              <w:rPr>
                <w:rFonts w:ascii="Arial" w:hAnsi="Arial" w:cs="Arial"/>
                <w:sz w:val="20"/>
                <w:szCs w:val="20"/>
              </w:rPr>
            </w:pPr>
            <w:r w:rsidRPr="00642DED">
              <w:rPr>
                <w:rFonts w:ascii="Arial" w:hAnsi="Arial" w:cs="Arial"/>
                <w:sz w:val="20"/>
                <w:szCs w:val="20"/>
              </w:rPr>
              <w:t>Traumatología y Ortopedia</w:t>
            </w:r>
          </w:p>
          <w:p w14:paraId="4CC11180" w14:textId="77777777" w:rsidR="00B207D0" w:rsidRPr="00642DED" w:rsidRDefault="00B207D0" w:rsidP="00B207D0">
            <w:pPr>
              <w:pStyle w:val="Prrafodelista"/>
              <w:numPr>
                <w:ilvl w:val="0"/>
                <w:numId w:val="5"/>
              </w:numPr>
              <w:jc w:val="both"/>
              <w:rPr>
                <w:rFonts w:ascii="Arial" w:hAnsi="Arial" w:cs="Arial"/>
                <w:sz w:val="20"/>
                <w:szCs w:val="20"/>
              </w:rPr>
            </w:pPr>
            <w:r w:rsidRPr="00642DED">
              <w:rPr>
                <w:rFonts w:ascii="Arial" w:hAnsi="Arial" w:cs="Arial"/>
                <w:sz w:val="20"/>
                <w:szCs w:val="20"/>
              </w:rPr>
              <w:t>Imagenología diagnóstica y terapéutica</w:t>
            </w:r>
          </w:p>
          <w:p w14:paraId="25C94C6B" w14:textId="77777777" w:rsidR="00B207D0" w:rsidRPr="00642DED" w:rsidRDefault="00B207D0" w:rsidP="00B207D0">
            <w:pPr>
              <w:pStyle w:val="Prrafodelista"/>
              <w:numPr>
                <w:ilvl w:val="0"/>
                <w:numId w:val="5"/>
              </w:numPr>
              <w:jc w:val="both"/>
              <w:rPr>
                <w:rFonts w:ascii="Arial" w:hAnsi="Arial" w:cs="Arial"/>
                <w:sz w:val="20"/>
                <w:szCs w:val="20"/>
              </w:rPr>
            </w:pPr>
            <w:r w:rsidRPr="00642DED">
              <w:rPr>
                <w:rFonts w:ascii="Arial" w:hAnsi="Arial" w:cs="Arial"/>
                <w:sz w:val="20"/>
                <w:szCs w:val="20"/>
              </w:rPr>
              <w:t>Medicina de Urgencias</w:t>
            </w:r>
          </w:p>
          <w:p w14:paraId="36857472" w14:textId="77777777" w:rsidR="00B207D0" w:rsidRPr="00642DED" w:rsidRDefault="00B207D0" w:rsidP="00B207D0">
            <w:pPr>
              <w:pStyle w:val="Prrafodelista"/>
              <w:numPr>
                <w:ilvl w:val="0"/>
                <w:numId w:val="5"/>
              </w:numPr>
              <w:jc w:val="both"/>
              <w:rPr>
                <w:rFonts w:ascii="Arial" w:hAnsi="Arial" w:cs="Arial"/>
                <w:sz w:val="20"/>
                <w:szCs w:val="20"/>
              </w:rPr>
            </w:pPr>
            <w:r w:rsidRPr="00642DED">
              <w:rPr>
                <w:rFonts w:ascii="Arial" w:hAnsi="Arial" w:cs="Arial"/>
                <w:sz w:val="20"/>
                <w:szCs w:val="20"/>
              </w:rPr>
              <w:t>Oftalmología</w:t>
            </w:r>
          </w:p>
          <w:p w14:paraId="38D10F82" w14:textId="77777777" w:rsidR="00B207D0" w:rsidRPr="00642DED" w:rsidRDefault="00B207D0" w:rsidP="00B207D0">
            <w:pPr>
              <w:pStyle w:val="Prrafodelista"/>
              <w:jc w:val="both"/>
              <w:rPr>
                <w:rFonts w:ascii="Arial" w:hAnsi="Arial" w:cs="Arial"/>
                <w:sz w:val="20"/>
                <w:szCs w:val="20"/>
              </w:rPr>
            </w:pPr>
          </w:p>
        </w:tc>
        <w:tc>
          <w:tcPr>
            <w:tcW w:w="4414" w:type="dxa"/>
          </w:tcPr>
          <w:p w14:paraId="474CBCC0" w14:textId="77777777" w:rsidR="00B207D0" w:rsidRPr="00642DED" w:rsidRDefault="00B207D0" w:rsidP="00B207D0">
            <w:pPr>
              <w:jc w:val="both"/>
              <w:rPr>
                <w:rFonts w:ascii="Arial" w:hAnsi="Arial" w:cs="Arial"/>
                <w:sz w:val="20"/>
                <w:szCs w:val="20"/>
              </w:rPr>
            </w:pPr>
            <w:r w:rsidRPr="00642DED">
              <w:rPr>
                <w:rFonts w:ascii="Arial" w:hAnsi="Arial" w:cs="Arial"/>
                <w:sz w:val="20"/>
                <w:szCs w:val="20"/>
              </w:rPr>
              <w:t>Las 10 especialidades con mayor oferta fueron:</w:t>
            </w:r>
          </w:p>
          <w:p w14:paraId="65F1F960" w14:textId="77777777" w:rsidR="00B207D0" w:rsidRPr="00642DED" w:rsidRDefault="00B207D0" w:rsidP="00B207D0">
            <w:pPr>
              <w:pStyle w:val="Prrafodelista"/>
              <w:numPr>
                <w:ilvl w:val="0"/>
                <w:numId w:val="4"/>
              </w:numPr>
              <w:jc w:val="both"/>
              <w:rPr>
                <w:rFonts w:ascii="Arial" w:hAnsi="Arial" w:cs="Arial"/>
                <w:sz w:val="20"/>
                <w:szCs w:val="20"/>
              </w:rPr>
            </w:pPr>
            <w:r w:rsidRPr="00642DED">
              <w:rPr>
                <w:rFonts w:ascii="Arial" w:hAnsi="Arial" w:cs="Arial"/>
                <w:sz w:val="20"/>
                <w:szCs w:val="20"/>
              </w:rPr>
              <w:t>Medicina Familiar</w:t>
            </w:r>
          </w:p>
          <w:p w14:paraId="0EF8B9BC" w14:textId="77777777" w:rsidR="00B207D0" w:rsidRPr="00642DED" w:rsidRDefault="00B207D0" w:rsidP="00B207D0">
            <w:pPr>
              <w:pStyle w:val="Prrafodelista"/>
              <w:numPr>
                <w:ilvl w:val="0"/>
                <w:numId w:val="4"/>
              </w:numPr>
              <w:jc w:val="both"/>
              <w:rPr>
                <w:rFonts w:ascii="Arial" w:hAnsi="Arial" w:cs="Arial"/>
                <w:sz w:val="20"/>
                <w:szCs w:val="20"/>
              </w:rPr>
            </w:pPr>
            <w:r w:rsidRPr="00642DED">
              <w:rPr>
                <w:rFonts w:ascii="Arial" w:hAnsi="Arial" w:cs="Arial"/>
                <w:sz w:val="20"/>
                <w:szCs w:val="20"/>
              </w:rPr>
              <w:t>Medicina Interna</w:t>
            </w:r>
          </w:p>
          <w:p w14:paraId="76FA1D50" w14:textId="77777777" w:rsidR="00B207D0" w:rsidRPr="00642DED" w:rsidRDefault="00B207D0" w:rsidP="00B207D0">
            <w:pPr>
              <w:pStyle w:val="Prrafodelista"/>
              <w:numPr>
                <w:ilvl w:val="0"/>
                <w:numId w:val="4"/>
              </w:numPr>
              <w:jc w:val="both"/>
              <w:rPr>
                <w:rFonts w:ascii="Arial" w:hAnsi="Arial" w:cs="Arial"/>
                <w:sz w:val="20"/>
                <w:szCs w:val="20"/>
              </w:rPr>
            </w:pPr>
            <w:r w:rsidRPr="00642DED">
              <w:rPr>
                <w:rFonts w:ascii="Arial" w:hAnsi="Arial" w:cs="Arial"/>
                <w:sz w:val="20"/>
                <w:szCs w:val="20"/>
              </w:rPr>
              <w:t>Pediatría</w:t>
            </w:r>
          </w:p>
          <w:p w14:paraId="744372DB" w14:textId="77777777" w:rsidR="00B207D0" w:rsidRPr="00642DED" w:rsidRDefault="00B207D0" w:rsidP="00B207D0">
            <w:pPr>
              <w:pStyle w:val="Prrafodelista"/>
              <w:numPr>
                <w:ilvl w:val="0"/>
                <w:numId w:val="4"/>
              </w:numPr>
              <w:jc w:val="both"/>
              <w:rPr>
                <w:rFonts w:ascii="Arial" w:hAnsi="Arial" w:cs="Arial"/>
                <w:sz w:val="20"/>
                <w:szCs w:val="20"/>
              </w:rPr>
            </w:pPr>
            <w:r w:rsidRPr="00642DED">
              <w:rPr>
                <w:rFonts w:ascii="Arial" w:hAnsi="Arial" w:cs="Arial"/>
                <w:sz w:val="20"/>
                <w:szCs w:val="20"/>
              </w:rPr>
              <w:t>Anestesiología</w:t>
            </w:r>
          </w:p>
          <w:p w14:paraId="5A9A31DE" w14:textId="77777777" w:rsidR="00B207D0" w:rsidRPr="00642DED" w:rsidRDefault="00B207D0" w:rsidP="00B207D0">
            <w:pPr>
              <w:pStyle w:val="Prrafodelista"/>
              <w:numPr>
                <w:ilvl w:val="0"/>
                <w:numId w:val="4"/>
              </w:numPr>
              <w:jc w:val="both"/>
              <w:rPr>
                <w:rFonts w:ascii="Arial" w:hAnsi="Arial" w:cs="Arial"/>
                <w:sz w:val="20"/>
                <w:szCs w:val="20"/>
              </w:rPr>
            </w:pPr>
            <w:r w:rsidRPr="00642DED">
              <w:rPr>
                <w:rFonts w:ascii="Arial" w:hAnsi="Arial" w:cs="Arial"/>
                <w:sz w:val="20"/>
                <w:szCs w:val="20"/>
              </w:rPr>
              <w:t>Ginecología y Obstetricia</w:t>
            </w:r>
          </w:p>
          <w:p w14:paraId="68780AA8" w14:textId="77777777" w:rsidR="00B207D0" w:rsidRPr="00642DED" w:rsidRDefault="00B207D0" w:rsidP="00B207D0">
            <w:pPr>
              <w:pStyle w:val="Prrafodelista"/>
              <w:numPr>
                <w:ilvl w:val="0"/>
                <w:numId w:val="4"/>
              </w:numPr>
              <w:jc w:val="both"/>
              <w:rPr>
                <w:rFonts w:ascii="Arial" w:hAnsi="Arial" w:cs="Arial"/>
                <w:sz w:val="20"/>
                <w:szCs w:val="20"/>
              </w:rPr>
            </w:pPr>
            <w:r w:rsidRPr="00642DED">
              <w:rPr>
                <w:rFonts w:ascii="Arial" w:hAnsi="Arial" w:cs="Arial"/>
                <w:sz w:val="20"/>
                <w:szCs w:val="20"/>
              </w:rPr>
              <w:t>Cirugía General</w:t>
            </w:r>
          </w:p>
          <w:p w14:paraId="603DB648" w14:textId="77777777" w:rsidR="00B207D0" w:rsidRPr="00642DED" w:rsidRDefault="00B207D0" w:rsidP="00B207D0">
            <w:pPr>
              <w:pStyle w:val="Prrafodelista"/>
              <w:numPr>
                <w:ilvl w:val="0"/>
                <w:numId w:val="4"/>
              </w:numPr>
              <w:jc w:val="both"/>
              <w:rPr>
                <w:rFonts w:ascii="Arial" w:hAnsi="Arial" w:cs="Arial"/>
                <w:sz w:val="20"/>
                <w:szCs w:val="20"/>
              </w:rPr>
            </w:pPr>
            <w:r w:rsidRPr="00642DED">
              <w:rPr>
                <w:rFonts w:ascii="Arial" w:hAnsi="Arial" w:cs="Arial"/>
                <w:sz w:val="20"/>
                <w:szCs w:val="20"/>
              </w:rPr>
              <w:t>Medicina de Urgencias</w:t>
            </w:r>
          </w:p>
          <w:p w14:paraId="3A86CD89" w14:textId="77777777" w:rsidR="00B207D0" w:rsidRPr="00642DED" w:rsidRDefault="00B207D0" w:rsidP="00B207D0">
            <w:pPr>
              <w:pStyle w:val="Prrafodelista"/>
              <w:numPr>
                <w:ilvl w:val="0"/>
                <w:numId w:val="4"/>
              </w:numPr>
              <w:jc w:val="both"/>
              <w:rPr>
                <w:rFonts w:ascii="Arial" w:hAnsi="Arial" w:cs="Arial"/>
                <w:sz w:val="20"/>
                <w:szCs w:val="20"/>
              </w:rPr>
            </w:pPr>
            <w:r w:rsidRPr="00642DED">
              <w:rPr>
                <w:rFonts w:ascii="Arial" w:hAnsi="Arial" w:cs="Arial"/>
                <w:sz w:val="20"/>
                <w:szCs w:val="20"/>
              </w:rPr>
              <w:t>Traumatología y Ortopedia</w:t>
            </w:r>
          </w:p>
          <w:p w14:paraId="6087D164" w14:textId="77777777" w:rsidR="00B207D0" w:rsidRPr="00642DED" w:rsidRDefault="00B207D0" w:rsidP="00B207D0">
            <w:pPr>
              <w:pStyle w:val="Prrafodelista"/>
              <w:numPr>
                <w:ilvl w:val="0"/>
                <w:numId w:val="4"/>
              </w:numPr>
              <w:jc w:val="both"/>
              <w:rPr>
                <w:rFonts w:ascii="Arial" w:hAnsi="Arial" w:cs="Arial"/>
                <w:sz w:val="20"/>
                <w:szCs w:val="20"/>
              </w:rPr>
            </w:pPr>
            <w:r w:rsidRPr="00642DED">
              <w:rPr>
                <w:rFonts w:ascii="Arial" w:hAnsi="Arial" w:cs="Arial"/>
                <w:sz w:val="20"/>
                <w:szCs w:val="20"/>
              </w:rPr>
              <w:t>Imagenología diagnóstica y terapéutica</w:t>
            </w:r>
          </w:p>
          <w:p w14:paraId="5578D440" w14:textId="77777777" w:rsidR="00B207D0" w:rsidRPr="00642DED" w:rsidRDefault="00B207D0" w:rsidP="00B207D0">
            <w:pPr>
              <w:pStyle w:val="Prrafodelista"/>
              <w:numPr>
                <w:ilvl w:val="0"/>
                <w:numId w:val="4"/>
              </w:numPr>
              <w:jc w:val="both"/>
              <w:rPr>
                <w:rFonts w:ascii="Arial" w:hAnsi="Arial" w:cs="Arial"/>
                <w:sz w:val="20"/>
                <w:szCs w:val="20"/>
              </w:rPr>
            </w:pPr>
            <w:r w:rsidRPr="00642DED">
              <w:rPr>
                <w:rFonts w:ascii="Arial" w:hAnsi="Arial" w:cs="Arial"/>
                <w:sz w:val="20"/>
                <w:szCs w:val="20"/>
              </w:rPr>
              <w:t>Oftalmología</w:t>
            </w:r>
          </w:p>
          <w:p w14:paraId="17737CCF" w14:textId="77777777" w:rsidR="00B207D0" w:rsidRPr="00642DED" w:rsidRDefault="00B207D0" w:rsidP="00B207D0">
            <w:pPr>
              <w:pStyle w:val="Prrafodelista"/>
              <w:jc w:val="both"/>
              <w:rPr>
                <w:rFonts w:ascii="Arial" w:hAnsi="Arial" w:cs="Arial"/>
                <w:sz w:val="20"/>
                <w:szCs w:val="20"/>
              </w:rPr>
            </w:pPr>
          </w:p>
        </w:tc>
      </w:tr>
      <w:tr w:rsidR="00B207D0" w:rsidRPr="006A1B3A" w14:paraId="6891C1EF" w14:textId="77777777" w:rsidTr="00B207D0">
        <w:trPr>
          <w:jc w:val="center"/>
        </w:trPr>
        <w:tc>
          <w:tcPr>
            <w:tcW w:w="8828" w:type="dxa"/>
            <w:gridSpan w:val="2"/>
          </w:tcPr>
          <w:p w14:paraId="2A6B11AC" w14:textId="77777777" w:rsidR="00B207D0" w:rsidRPr="00642DED" w:rsidRDefault="00B207D0" w:rsidP="00B207D0">
            <w:pPr>
              <w:jc w:val="center"/>
              <w:rPr>
                <w:rFonts w:ascii="Arial" w:hAnsi="Arial" w:cs="Arial"/>
                <w:sz w:val="20"/>
                <w:szCs w:val="20"/>
              </w:rPr>
            </w:pPr>
            <w:r w:rsidRPr="00642DED">
              <w:rPr>
                <w:rFonts w:ascii="Arial" w:hAnsi="Arial" w:cs="Arial"/>
                <w:sz w:val="20"/>
                <w:szCs w:val="20"/>
              </w:rPr>
              <w:t xml:space="preserve">La brecha entre la demanda y la oferta es de </w:t>
            </w:r>
            <w:r w:rsidRPr="00642DED">
              <w:rPr>
                <w:rFonts w:ascii="Arial" w:hAnsi="Arial" w:cs="Arial"/>
                <w:b/>
                <w:sz w:val="20"/>
                <w:szCs w:val="20"/>
              </w:rPr>
              <w:t>5:1</w:t>
            </w:r>
            <w:r w:rsidRPr="00642DED">
              <w:rPr>
                <w:rFonts w:ascii="Arial" w:hAnsi="Arial" w:cs="Arial"/>
                <w:sz w:val="20"/>
                <w:szCs w:val="20"/>
              </w:rPr>
              <w:t>,</w:t>
            </w:r>
            <w:r w:rsidRPr="00642DED">
              <w:rPr>
                <w:rFonts w:ascii="Arial" w:hAnsi="Arial" w:cs="Arial"/>
                <w:b/>
                <w:sz w:val="20"/>
                <w:szCs w:val="20"/>
              </w:rPr>
              <w:t xml:space="preserve"> </w:t>
            </w:r>
            <w:r w:rsidRPr="00642DED">
              <w:rPr>
                <w:rFonts w:ascii="Arial" w:hAnsi="Arial" w:cs="Arial"/>
                <w:sz w:val="20"/>
                <w:szCs w:val="20"/>
              </w:rPr>
              <w:t>es decir, sólo uno de cada cinco sustentantes consigue ingresar a la residencia.</w:t>
            </w:r>
          </w:p>
        </w:tc>
      </w:tr>
    </w:tbl>
    <w:p w14:paraId="3AC9CE7B" w14:textId="77777777" w:rsidR="00B207D0" w:rsidRPr="00642DED" w:rsidRDefault="00B207D0" w:rsidP="00B207D0">
      <w:pPr>
        <w:jc w:val="center"/>
        <w:rPr>
          <w:rFonts w:ascii="Arial" w:hAnsi="Arial" w:cs="Arial"/>
          <w:spacing w:val="-4"/>
          <w:sz w:val="18"/>
          <w:szCs w:val="18"/>
        </w:rPr>
      </w:pPr>
      <w:r w:rsidRPr="00396BFB">
        <w:rPr>
          <w:rFonts w:ascii="Arial" w:hAnsi="Arial" w:cs="Arial"/>
          <w:b/>
          <w:spacing w:val="-4"/>
          <w:sz w:val="18"/>
          <w:szCs w:val="18"/>
        </w:rPr>
        <w:t>Fuente</w:t>
      </w:r>
      <w:r w:rsidRPr="00642DED">
        <w:rPr>
          <w:rFonts w:ascii="Arial" w:hAnsi="Arial" w:cs="Arial"/>
          <w:spacing w:val="-4"/>
          <w:sz w:val="18"/>
          <w:szCs w:val="18"/>
        </w:rPr>
        <w:t>: Elaboración propia con base en Brechas en la Disponibilidad de Médicos y Enfermeras Especialistas en el Sistema Nacional de Salud (2017).</w:t>
      </w:r>
    </w:p>
    <w:p w14:paraId="6B032AA9" w14:textId="70D4DA9D" w:rsidR="00B207D0" w:rsidRPr="00642DED" w:rsidRDefault="00B207D0" w:rsidP="007C0B53">
      <w:pPr>
        <w:spacing w:line="360" w:lineRule="auto"/>
        <w:jc w:val="both"/>
        <w:rPr>
          <w:rFonts w:ascii="Arial" w:hAnsi="Arial" w:cs="Arial"/>
        </w:rPr>
      </w:pPr>
      <w:r w:rsidRPr="00642DED">
        <w:rPr>
          <w:rFonts w:ascii="Arial" w:hAnsi="Arial" w:cs="Arial"/>
        </w:rPr>
        <w:t xml:space="preserve">Según el documento de la Academia Nacional de Medicina sobre </w:t>
      </w:r>
      <w:r w:rsidRPr="00642DED">
        <w:rPr>
          <w:rFonts w:ascii="Arial" w:hAnsi="Arial" w:cs="Arial"/>
          <w:i/>
        </w:rPr>
        <w:t xml:space="preserve">La Formación de </w:t>
      </w:r>
      <w:r w:rsidR="008A3720">
        <w:rPr>
          <w:rFonts w:ascii="Arial" w:hAnsi="Arial" w:cs="Arial"/>
          <w:i/>
        </w:rPr>
        <w:t>Médicos Especialistas en México</w:t>
      </w:r>
      <w:r w:rsidR="008A3720">
        <w:rPr>
          <w:rStyle w:val="Refdenotaalpie"/>
          <w:rFonts w:ascii="Arial" w:hAnsi="Arial" w:cs="Arial"/>
          <w:i/>
        </w:rPr>
        <w:footnoteReference w:id="104"/>
      </w:r>
      <w:r w:rsidRPr="00642DED">
        <w:rPr>
          <w:rFonts w:ascii="Arial" w:hAnsi="Arial" w:cs="Arial"/>
        </w:rPr>
        <w:t xml:space="preserve">, la brecha entre la solicitud de aspirantes a las residencias médicas y la oferta de plazas es muy amplia, indicó que en los últimos años un poco más de 20% de los aspirantes son aceptados,  cifra que coincide con la reportada en el documento de </w:t>
      </w:r>
      <w:r w:rsidRPr="00642DED">
        <w:rPr>
          <w:rFonts w:ascii="Arial" w:hAnsi="Arial" w:cs="Arial"/>
          <w:i/>
        </w:rPr>
        <w:t xml:space="preserve">Brechas en la Disponibilidad de Médicos y Enfermeras Especialistas en el Sistema de Nacional de Salud </w:t>
      </w:r>
      <w:r w:rsidRPr="00642DED">
        <w:rPr>
          <w:rFonts w:ascii="Arial" w:hAnsi="Arial" w:cs="Arial"/>
        </w:rPr>
        <w:t xml:space="preserve"> del Instituto Nacional de Salud Pública.</w:t>
      </w:r>
    </w:p>
    <w:p w14:paraId="6BE89F99" w14:textId="77777777" w:rsidR="001A2039" w:rsidRPr="009A4EC9" w:rsidRDefault="001A2039" w:rsidP="009A4EC9">
      <w:pPr>
        <w:spacing w:line="360" w:lineRule="auto"/>
        <w:jc w:val="both"/>
        <w:rPr>
          <w:rFonts w:ascii="Arial" w:hAnsi="Arial" w:cs="Arial"/>
        </w:rPr>
      </w:pPr>
      <w:r w:rsidRPr="00F90E84">
        <w:rPr>
          <w:rFonts w:ascii="Arial" w:hAnsi="Arial" w:cs="Arial"/>
        </w:rPr>
        <w:t xml:space="preserve">En relación a la Especialidad de Pediatría, en la Tabla 1 se puede observar que ocupa el tercer lugar tanto en el rubro de demanda, como en el de oferta. </w:t>
      </w:r>
    </w:p>
    <w:p w14:paraId="563FB0EF" w14:textId="77777777" w:rsidR="001A2039" w:rsidRPr="00F90E84" w:rsidRDefault="001A2039" w:rsidP="009A4EC9">
      <w:pPr>
        <w:spacing w:line="360" w:lineRule="auto"/>
        <w:jc w:val="both"/>
        <w:rPr>
          <w:rFonts w:ascii="Arial" w:hAnsi="Arial" w:cs="Arial"/>
        </w:rPr>
      </w:pPr>
      <w:r w:rsidRPr="00F90E84">
        <w:rPr>
          <w:rFonts w:ascii="Arial" w:hAnsi="Arial" w:cs="Arial"/>
        </w:rPr>
        <w:t xml:space="preserve">De acuerdo a la Academia Nacional de Medicina, en 2012 existían 9 pediatras por cada 100,000 habitantes y si se considera solamente a la población menor de 15 años la relación asciende a 30.6 pediatras por cada 100,000; sin embargo, y de acuerdo a las estimaciones </w:t>
      </w:r>
      <w:r w:rsidRPr="00F90E84">
        <w:rPr>
          <w:rFonts w:ascii="Arial" w:hAnsi="Arial" w:cs="Arial"/>
        </w:rPr>
        <w:lastRenderedPageBreak/>
        <w:t>que se han realizado para 2030, dicha relación tenderá a disminuir, mostrando una tasa de 8/100,000, cifra que de acuerdo a los especialistas resulta insuficiente para atender la demanda de servicios de pediatría.</w:t>
      </w:r>
    </w:p>
    <w:p w14:paraId="6473A081" w14:textId="07879C2D" w:rsidR="001A2039" w:rsidRPr="00F90E84" w:rsidRDefault="001A2039" w:rsidP="009A4EC9">
      <w:pPr>
        <w:spacing w:line="360" w:lineRule="auto"/>
        <w:jc w:val="both"/>
        <w:rPr>
          <w:rFonts w:ascii="Arial" w:hAnsi="Arial" w:cs="Arial"/>
        </w:rPr>
      </w:pPr>
      <w:r w:rsidRPr="00F90E84">
        <w:rPr>
          <w:rFonts w:ascii="Arial" w:hAnsi="Arial" w:cs="Arial"/>
        </w:rPr>
        <w:t>Otro factor que se debe considerar en la formación de pediatras son las subespecialidades, que en conjunto sirven para ofrecer los servicios de salud necesarios para atender a la población infantil (Academia Nacional de Medicina, 2017). Guevara (2017)</w:t>
      </w:r>
      <w:r w:rsidR="008A3720" w:rsidRPr="009A4EC9">
        <w:footnoteReference w:id="105"/>
      </w:r>
      <w:r w:rsidRPr="00F90E84">
        <w:rPr>
          <w:rFonts w:ascii="Arial" w:hAnsi="Arial" w:cs="Arial"/>
        </w:rPr>
        <w:t xml:space="preserve"> señala que si bien, México cuenta con gente capacitada para atender los casos de medicina neonatal, tales subespecialistas únicamente se encuentran en centros de atención especializados, mientras que la población de áreas marginadas carece de dichos servicios.</w:t>
      </w:r>
    </w:p>
    <w:p w14:paraId="42E17358" w14:textId="77777777" w:rsidR="001A2039" w:rsidRPr="00F90E84" w:rsidRDefault="001A2039" w:rsidP="009A4EC9">
      <w:pPr>
        <w:spacing w:line="360" w:lineRule="auto"/>
        <w:jc w:val="both"/>
        <w:rPr>
          <w:rFonts w:ascii="Arial" w:hAnsi="Arial" w:cs="Arial"/>
        </w:rPr>
      </w:pPr>
      <w:r w:rsidRPr="00F90E84">
        <w:rPr>
          <w:rFonts w:ascii="Arial" w:hAnsi="Arial" w:cs="Arial"/>
        </w:rPr>
        <w:t>De acuerdo al último anuario de la Asociación Nacional de Universidades e Instituciones de Educación Superior (ANUIES, 2018), existen 16 IES con sus respectivos programas de subespecialidad. En la Tabla 2, que contiene el número de IES y programas por sector, puede observarse que existe mayor predominio de las IES públicas, sobre las privadas en la formación de subespecialistas en Neonatología.</w:t>
      </w:r>
    </w:p>
    <w:p w14:paraId="5E12C1D2" w14:textId="77777777" w:rsidR="001A2039" w:rsidRPr="00F90E84" w:rsidRDefault="001A2039" w:rsidP="001A2039">
      <w:pPr>
        <w:jc w:val="center"/>
        <w:rPr>
          <w:rFonts w:ascii="Arial" w:hAnsi="Arial" w:cs="Arial"/>
          <w:b/>
          <w:spacing w:val="-8"/>
        </w:rPr>
      </w:pPr>
      <w:r w:rsidRPr="00F90E84">
        <w:rPr>
          <w:rFonts w:ascii="Arial" w:hAnsi="Arial" w:cs="Arial"/>
          <w:b/>
        </w:rPr>
        <w:t>Tabla 2.</w:t>
      </w:r>
      <w:r w:rsidRPr="00F90E84">
        <w:rPr>
          <w:rFonts w:ascii="Arial" w:hAnsi="Arial" w:cs="Arial"/>
          <w:b/>
          <w:spacing w:val="-8"/>
        </w:rPr>
        <w:t xml:space="preserve"> IES, Programas, Ingreso, Matrícula y Egreso de la </w:t>
      </w:r>
      <w:r w:rsidRPr="00F90E84">
        <w:rPr>
          <w:rFonts w:ascii="Arial" w:hAnsi="Arial" w:cs="Arial"/>
          <w:b/>
        </w:rPr>
        <w:t xml:space="preserve">Subespecialidad en Neonatología </w:t>
      </w:r>
      <w:r w:rsidRPr="00F90E84">
        <w:rPr>
          <w:rFonts w:ascii="Arial" w:hAnsi="Arial" w:cs="Arial"/>
          <w:b/>
          <w:spacing w:val="-8"/>
        </w:rPr>
        <w:t>a Nivel Nacional en 2018.</w:t>
      </w:r>
    </w:p>
    <w:tbl>
      <w:tblPr>
        <w:tblStyle w:val="Tablaconcuadrcula"/>
        <w:tblW w:w="0" w:type="auto"/>
        <w:jc w:val="center"/>
        <w:tblLook w:val="04A0" w:firstRow="1" w:lastRow="0" w:firstColumn="1" w:lastColumn="0" w:noHBand="0" w:noVBand="1"/>
      </w:tblPr>
      <w:tblGrid>
        <w:gridCol w:w="1268"/>
        <w:gridCol w:w="1393"/>
        <w:gridCol w:w="1671"/>
        <w:gridCol w:w="1487"/>
        <w:gridCol w:w="1524"/>
        <w:gridCol w:w="1485"/>
      </w:tblGrid>
      <w:tr w:rsidR="001A2039" w:rsidRPr="00F90E84" w14:paraId="4A2C16C4" w14:textId="77777777" w:rsidTr="009A4EC9">
        <w:trPr>
          <w:jc w:val="center"/>
        </w:trPr>
        <w:tc>
          <w:tcPr>
            <w:tcW w:w="1271" w:type="dxa"/>
            <w:shd w:val="clear" w:color="auto" w:fill="2F5496" w:themeFill="accent5" w:themeFillShade="BF"/>
          </w:tcPr>
          <w:p w14:paraId="10A280BD" w14:textId="77777777" w:rsidR="001A2039" w:rsidRPr="00F90E84" w:rsidRDefault="001A2039" w:rsidP="009A4EC9">
            <w:pPr>
              <w:jc w:val="center"/>
              <w:rPr>
                <w:rFonts w:ascii="Arial" w:hAnsi="Arial" w:cs="Arial"/>
                <w:b/>
                <w:color w:val="FFFFFF" w:themeColor="background1"/>
              </w:rPr>
            </w:pPr>
            <w:r w:rsidRPr="00F90E84">
              <w:rPr>
                <w:rFonts w:ascii="Arial" w:hAnsi="Arial" w:cs="Arial"/>
                <w:b/>
                <w:color w:val="FFFFFF" w:themeColor="background1"/>
              </w:rPr>
              <w:t>SECTOR</w:t>
            </w:r>
          </w:p>
        </w:tc>
        <w:tc>
          <w:tcPr>
            <w:tcW w:w="1418" w:type="dxa"/>
            <w:shd w:val="clear" w:color="auto" w:fill="2F5496" w:themeFill="accent5" w:themeFillShade="BF"/>
          </w:tcPr>
          <w:p w14:paraId="45319845" w14:textId="77777777" w:rsidR="001A2039" w:rsidRPr="00F90E84" w:rsidRDefault="001A2039" w:rsidP="009A4EC9">
            <w:pPr>
              <w:jc w:val="center"/>
              <w:rPr>
                <w:rFonts w:ascii="Arial" w:hAnsi="Arial" w:cs="Arial"/>
                <w:b/>
                <w:color w:val="FFFFFF" w:themeColor="background1"/>
              </w:rPr>
            </w:pPr>
            <w:r w:rsidRPr="00F90E84">
              <w:rPr>
                <w:rFonts w:ascii="Arial" w:hAnsi="Arial" w:cs="Arial"/>
                <w:b/>
                <w:color w:val="FFFFFF" w:themeColor="background1"/>
              </w:rPr>
              <w:t>IES</w:t>
            </w:r>
          </w:p>
        </w:tc>
        <w:tc>
          <w:tcPr>
            <w:tcW w:w="1495" w:type="dxa"/>
            <w:shd w:val="clear" w:color="auto" w:fill="2F5496" w:themeFill="accent5" w:themeFillShade="BF"/>
          </w:tcPr>
          <w:p w14:paraId="1AAB5F18" w14:textId="77777777" w:rsidR="001A2039" w:rsidRPr="00F90E84" w:rsidRDefault="001A2039" w:rsidP="009A4EC9">
            <w:pPr>
              <w:jc w:val="center"/>
              <w:rPr>
                <w:rFonts w:ascii="Arial" w:hAnsi="Arial" w:cs="Arial"/>
                <w:b/>
                <w:color w:val="FFFFFF" w:themeColor="background1"/>
              </w:rPr>
            </w:pPr>
            <w:r w:rsidRPr="00F90E84">
              <w:rPr>
                <w:rFonts w:ascii="Arial" w:hAnsi="Arial" w:cs="Arial"/>
                <w:b/>
                <w:color w:val="FFFFFF" w:themeColor="background1"/>
              </w:rPr>
              <w:t>PROGRAMAS</w:t>
            </w:r>
          </w:p>
        </w:tc>
        <w:tc>
          <w:tcPr>
            <w:tcW w:w="1495" w:type="dxa"/>
            <w:shd w:val="clear" w:color="auto" w:fill="2F5496" w:themeFill="accent5" w:themeFillShade="BF"/>
          </w:tcPr>
          <w:p w14:paraId="3B6BCEE5" w14:textId="77777777" w:rsidR="001A2039" w:rsidRPr="00F90E84" w:rsidRDefault="001A2039" w:rsidP="009A4EC9">
            <w:pPr>
              <w:jc w:val="center"/>
              <w:rPr>
                <w:rFonts w:ascii="Arial" w:hAnsi="Arial" w:cs="Arial"/>
                <w:b/>
                <w:color w:val="FFFFFF" w:themeColor="background1"/>
              </w:rPr>
            </w:pPr>
            <w:r w:rsidRPr="00F90E84">
              <w:rPr>
                <w:rFonts w:ascii="Arial" w:hAnsi="Arial" w:cs="Arial"/>
                <w:b/>
                <w:color w:val="FFFFFF" w:themeColor="background1"/>
              </w:rPr>
              <w:t>INGRESO</w:t>
            </w:r>
          </w:p>
        </w:tc>
        <w:tc>
          <w:tcPr>
            <w:tcW w:w="1495" w:type="dxa"/>
            <w:shd w:val="clear" w:color="auto" w:fill="2F5496" w:themeFill="accent5" w:themeFillShade="BF"/>
          </w:tcPr>
          <w:p w14:paraId="31ED035B" w14:textId="77777777" w:rsidR="001A2039" w:rsidRPr="00F90E84" w:rsidRDefault="001A2039" w:rsidP="009A4EC9">
            <w:pPr>
              <w:jc w:val="center"/>
              <w:rPr>
                <w:rFonts w:ascii="Arial" w:hAnsi="Arial" w:cs="Arial"/>
                <w:b/>
                <w:color w:val="FFFFFF" w:themeColor="background1"/>
              </w:rPr>
            </w:pPr>
            <w:r w:rsidRPr="00F90E84">
              <w:rPr>
                <w:rFonts w:ascii="Arial" w:hAnsi="Arial" w:cs="Arial"/>
                <w:b/>
                <w:color w:val="FFFFFF" w:themeColor="background1"/>
              </w:rPr>
              <w:t>MATRÍCULA</w:t>
            </w:r>
          </w:p>
        </w:tc>
        <w:tc>
          <w:tcPr>
            <w:tcW w:w="1495" w:type="dxa"/>
            <w:shd w:val="clear" w:color="auto" w:fill="2F5496" w:themeFill="accent5" w:themeFillShade="BF"/>
          </w:tcPr>
          <w:p w14:paraId="6CA67D91" w14:textId="77777777" w:rsidR="001A2039" w:rsidRPr="00F90E84" w:rsidRDefault="001A2039" w:rsidP="009A4EC9">
            <w:pPr>
              <w:jc w:val="center"/>
              <w:rPr>
                <w:rFonts w:ascii="Arial" w:hAnsi="Arial" w:cs="Arial"/>
                <w:b/>
                <w:color w:val="FFFFFF" w:themeColor="background1"/>
              </w:rPr>
            </w:pPr>
            <w:r w:rsidRPr="00F90E84">
              <w:rPr>
                <w:rFonts w:ascii="Arial" w:hAnsi="Arial" w:cs="Arial"/>
                <w:b/>
                <w:color w:val="FFFFFF" w:themeColor="background1"/>
              </w:rPr>
              <w:t>EGRESO</w:t>
            </w:r>
          </w:p>
        </w:tc>
      </w:tr>
      <w:tr w:rsidR="001A2039" w:rsidRPr="00F90E84" w14:paraId="3BB6A899" w14:textId="77777777" w:rsidTr="009A4EC9">
        <w:trPr>
          <w:jc w:val="center"/>
        </w:trPr>
        <w:tc>
          <w:tcPr>
            <w:tcW w:w="1271" w:type="dxa"/>
          </w:tcPr>
          <w:p w14:paraId="1872370B" w14:textId="77777777" w:rsidR="001A2039" w:rsidRPr="00F90E84" w:rsidRDefault="001A2039" w:rsidP="009A4EC9">
            <w:pPr>
              <w:jc w:val="center"/>
              <w:rPr>
                <w:rFonts w:ascii="Arial" w:hAnsi="Arial" w:cs="Arial"/>
              </w:rPr>
            </w:pPr>
            <w:r w:rsidRPr="00F90E84">
              <w:rPr>
                <w:rFonts w:ascii="Arial" w:hAnsi="Arial" w:cs="Arial"/>
              </w:rPr>
              <w:t>Público</w:t>
            </w:r>
          </w:p>
        </w:tc>
        <w:tc>
          <w:tcPr>
            <w:tcW w:w="1418" w:type="dxa"/>
          </w:tcPr>
          <w:p w14:paraId="70B672AA" w14:textId="77777777" w:rsidR="001A2039" w:rsidRPr="00F90E84" w:rsidRDefault="001A2039" w:rsidP="009A4EC9">
            <w:pPr>
              <w:jc w:val="center"/>
              <w:rPr>
                <w:rFonts w:ascii="Arial" w:hAnsi="Arial" w:cs="Arial"/>
              </w:rPr>
            </w:pPr>
            <w:r w:rsidRPr="00F90E84">
              <w:rPr>
                <w:rFonts w:ascii="Arial" w:hAnsi="Arial" w:cs="Arial"/>
              </w:rPr>
              <w:t>13</w:t>
            </w:r>
          </w:p>
        </w:tc>
        <w:tc>
          <w:tcPr>
            <w:tcW w:w="1495" w:type="dxa"/>
          </w:tcPr>
          <w:p w14:paraId="2259E383" w14:textId="77777777" w:rsidR="001A2039" w:rsidRPr="00F90E84" w:rsidRDefault="001A2039" w:rsidP="009A4EC9">
            <w:pPr>
              <w:jc w:val="center"/>
              <w:rPr>
                <w:rFonts w:ascii="Arial" w:hAnsi="Arial" w:cs="Arial"/>
              </w:rPr>
            </w:pPr>
            <w:r w:rsidRPr="00F90E84">
              <w:rPr>
                <w:rFonts w:ascii="Arial" w:hAnsi="Arial" w:cs="Arial"/>
              </w:rPr>
              <w:t>13</w:t>
            </w:r>
          </w:p>
        </w:tc>
        <w:tc>
          <w:tcPr>
            <w:tcW w:w="1495" w:type="dxa"/>
          </w:tcPr>
          <w:p w14:paraId="6D79E6E3" w14:textId="77777777" w:rsidR="001A2039" w:rsidRPr="00F90E84" w:rsidRDefault="001A2039" w:rsidP="009A4EC9">
            <w:pPr>
              <w:jc w:val="center"/>
              <w:rPr>
                <w:rFonts w:ascii="Arial" w:hAnsi="Arial" w:cs="Arial"/>
              </w:rPr>
            </w:pPr>
            <w:r w:rsidRPr="00F90E84">
              <w:rPr>
                <w:rFonts w:ascii="Arial" w:hAnsi="Arial" w:cs="Arial"/>
              </w:rPr>
              <w:t>60</w:t>
            </w:r>
          </w:p>
        </w:tc>
        <w:tc>
          <w:tcPr>
            <w:tcW w:w="1495" w:type="dxa"/>
          </w:tcPr>
          <w:p w14:paraId="789B8B8C" w14:textId="77777777" w:rsidR="001A2039" w:rsidRPr="00F90E84" w:rsidRDefault="001A2039" w:rsidP="009A4EC9">
            <w:pPr>
              <w:jc w:val="center"/>
              <w:rPr>
                <w:rFonts w:ascii="Arial" w:hAnsi="Arial" w:cs="Arial"/>
              </w:rPr>
            </w:pPr>
            <w:r w:rsidRPr="00F90E84">
              <w:rPr>
                <w:rFonts w:ascii="Arial" w:hAnsi="Arial" w:cs="Arial"/>
              </w:rPr>
              <w:t>163</w:t>
            </w:r>
          </w:p>
        </w:tc>
        <w:tc>
          <w:tcPr>
            <w:tcW w:w="1495" w:type="dxa"/>
          </w:tcPr>
          <w:p w14:paraId="02456815" w14:textId="77777777" w:rsidR="001A2039" w:rsidRPr="00F90E84" w:rsidRDefault="001A2039" w:rsidP="009A4EC9">
            <w:pPr>
              <w:jc w:val="center"/>
              <w:rPr>
                <w:rFonts w:ascii="Arial" w:hAnsi="Arial" w:cs="Arial"/>
              </w:rPr>
            </w:pPr>
            <w:r w:rsidRPr="00F90E84">
              <w:rPr>
                <w:rFonts w:ascii="Arial" w:hAnsi="Arial" w:cs="Arial"/>
              </w:rPr>
              <w:t>88</w:t>
            </w:r>
          </w:p>
        </w:tc>
      </w:tr>
      <w:tr w:rsidR="001A2039" w:rsidRPr="00F90E84" w14:paraId="20E48236" w14:textId="77777777" w:rsidTr="009A4EC9">
        <w:trPr>
          <w:jc w:val="center"/>
        </w:trPr>
        <w:tc>
          <w:tcPr>
            <w:tcW w:w="1271" w:type="dxa"/>
          </w:tcPr>
          <w:p w14:paraId="696ECD8C" w14:textId="77777777" w:rsidR="001A2039" w:rsidRPr="00F90E84" w:rsidRDefault="001A2039" w:rsidP="009A4EC9">
            <w:pPr>
              <w:jc w:val="center"/>
              <w:rPr>
                <w:rFonts w:ascii="Arial" w:hAnsi="Arial" w:cs="Arial"/>
              </w:rPr>
            </w:pPr>
            <w:r w:rsidRPr="00F90E84">
              <w:rPr>
                <w:rFonts w:ascii="Arial" w:hAnsi="Arial" w:cs="Arial"/>
              </w:rPr>
              <w:t>Privado</w:t>
            </w:r>
          </w:p>
        </w:tc>
        <w:tc>
          <w:tcPr>
            <w:tcW w:w="1418" w:type="dxa"/>
          </w:tcPr>
          <w:p w14:paraId="5AD06E24" w14:textId="77777777" w:rsidR="001A2039" w:rsidRPr="00F90E84" w:rsidRDefault="001A2039" w:rsidP="009A4EC9">
            <w:pPr>
              <w:jc w:val="center"/>
              <w:rPr>
                <w:rFonts w:ascii="Arial" w:hAnsi="Arial" w:cs="Arial"/>
              </w:rPr>
            </w:pPr>
            <w:r w:rsidRPr="00F90E84">
              <w:rPr>
                <w:rFonts w:ascii="Arial" w:hAnsi="Arial" w:cs="Arial"/>
              </w:rPr>
              <w:t>3</w:t>
            </w:r>
          </w:p>
        </w:tc>
        <w:tc>
          <w:tcPr>
            <w:tcW w:w="1495" w:type="dxa"/>
          </w:tcPr>
          <w:p w14:paraId="091E45B4" w14:textId="77777777" w:rsidR="001A2039" w:rsidRPr="00F90E84" w:rsidRDefault="001A2039" w:rsidP="009A4EC9">
            <w:pPr>
              <w:jc w:val="center"/>
              <w:rPr>
                <w:rFonts w:ascii="Arial" w:hAnsi="Arial" w:cs="Arial"/>
              </w:rPr>
            </w:pPr>
            <w:r w:rsidRPr="00F90E84">
              <w:rPr>
                <w:rFonts w:ascii="Arial" w:hAnsi="Arial" w:cs="Arial"/>
              </w:rPr>
              <w:t>3</w:t>
            </w:r>
          </w:p>
        </w:tc>
        <w:tc>
          <w:tcPr>
            <w:tcW w:w="1495" w:type="dxa"/>
          </w:tcPr>
          <w:p w14:paraId="6964D012" w14:textId="77777777" w:rsidR="001A2039" w:rsidRPr="00F90E84" w:rsidRDefault="001A2039" w:rsidP="009A4EC9">
            <w:pPr>
              <w:jc w:val="center"/>
              <w:rPr>
                <w:rFonts w:ascii="Arial" w:hAnsi="Arial" w:cs="Arial"/>
              </w:rPr>
            </w:pPr>
            <w:r w:rsidRPr="00F90E84">
              <w:rPr>
                <w:rFonts w:ascii="Arial" w:hAnsi="Arial" w:cs="Arial"/>
              </w:rPr>
              <w:t>14</w:t>
            </w:r>
          </w:p>
        </w:tc>
        <w:tc>
          <w:tcPr>
            <w:tcW w:w="1495" w:type="dxa"/>
          </w:tcPr>
          <w:p w14:paraId="5B8F3FE5" w14:textId="77777777" w:rsidR="001A2039" w:rsidRPr="00F90E84" w:rsidRDefault="001A2039" w:rsidP="009A4EC9">
            <w:pPr>
              <w:jc w:val="center"/>
              <w:rPr>
                <w:rFonts w:ascii="Arial" w:hAnsi="Arial" w:cs="Arial"/>
              </w:rPr>
            </w:pPr>
            <w:r w:rsidRPr="00F90E84">
              <w:rPr>
                <w:rFonts w:ascii="Arial" w:hAnsi="Arial" w:cs="Arial"/>
              </w:rPr>
              <w:t>36</w:t>
            </w:r>
          </w:p>
        </w:tc>
        <w:tc>
          <w:tcPr>
            <w:tcW w:w="1495" w:type="dxa"/>
          </w:tcPr>
          <w:p w14:paraId="2193099D" w14:textId="77777777" w:rsidR="001A2039" w:rsidRPr="00F90E84" w:rsidRDefault="001A2039" w:rsidP="009A4EC9">
            <w:pPr>
              <w:jc w:val="center"/>
              <w:rPr>
                <w:rFonts w:ascii="Arial" w:hAnsi="Arial" w:cs="Arial"/>
              </w:rPr>
            </w:pPr>
            <w:r w:rsidRPr="00F90E84">
              <w:rPr>
                <w:rFonts w:ascii="Arial" w:hAnsi="Arial" w:cs="Arial"/>
              </w:rPr>
              <w:t>24</w:t>
            </w:r>
          </w:p>
        </w:tc>
      </w:tr>
      <w:tr w:rsidR="001A2039" w:rsidRPr="00F90E84" w14:paraId="615D38C0" w14:textId="77777777" w:rsidTr="009A4EC9">
        <w:trPr>
          <w:jc w:val="center"/>
        </w:trPr>
        <w:tc>
          <w:tcPr>
            <w:tcW w:w="1271" w:type="dxa"/>
          </w:tcPr>
          <w:p w14:paraId="7964119A" w14:textId="77777777" w:rsidR="001A2039" w:rsidRPr="00F90E84" w:rsidRDefault="001A2039" w:rsidP="009A4EC9">
            <w:pPr>
              <w:jc w:val="center"/>
              <w:rPr>
                <w:rFonts w:ascii="Arial" w:hAnsi="Arial" w:cs="Arial"/>
                <w:b/>
              </w:rPr>
            </w:pPr>
            <w:r w:rsidRPr="00F90E84">
              <w:rPr>
                <w:rFonts w:ascii="Arial" w:hAnsi="Arial" w:cs="Arial"/>
                <w:b/>
              </w:rPr>
              <w:t>TOTAL</w:t>
            </w:r>
          </w:p>
        </w:tc>
        <w:tc>
          <w:tcPr>
            <w:tcW w:w="1418" w:type="dxa"/>
          </w:tcPr>
          <w:p w14:paraId="0F0445CC" w14:textId="77777777" w:rsidR="001A2039" w:rsidRPr="00F90E84" w:rsidRDefault="001A2039" w:rsidP="009A4EC9">
            <w:pPr>
              <w:jc w:val="center"/>
              <w:rPr>
                <w:rFonts w:ascii="Arial" w:hAnsi="Arial" w:cs="Arial"/>
                <w:b/>
              </w:rPr>
            </w:pPr>
            <w:r w:rsidRPr="00F90E84">
              <w:rPr>
                <w:rFonts w:ascii="Arial" w:hAnsi="Arial" w:cs="Arial"/>
                <w:b/>
              </w:rPr>
              <w:t>16</w:t>
            </w:r>
          </w:p>
        </w:tc>
        <w:tc>
          <w:tcPr>
            <w:tcW w:w="1495" w:type="dxa"/>
          </w:tcPr>
          <w:p w14:paraId="31F65889" w14:textId="77777777" w:rsidR="001A2039" w:rsidRPr="00F90E84" w:rsidRDefault="001A2039" w:rsidP="009A4EC9">
            <w:pPr>
              <w:jc w:val="center"/>
              <w:rPr>
                <w:rFonts w:ascii="Arial" w:hAnsi="Arial" w:cs="Arial"/>
                <w:b/>
              </w:rPr>
            </w:pPr>
            <w:r w:rsidRPr="00F90E84">
              <w:rPr>
                <w:rFonts w:ascii="Arial" w:hAnsi="Arial" w:cs="Arial"/>
                <w:b/>
              </w:rPr>
              <w:t>16</w:t>
            </w:r>
          </w:p>
        </w:tc>
        <w:tc>
          <w:tcPr>
            <w:tcW w:w="1495" w:type="dxa"/>
          </w:tcPr>
          <w:p w14:paraId="52AF46CD" w14:textId="77777777" w:rsidR="001A2039" w:rsidRPr="00F90E84" w:rsidRDefault="001A2039" w:rsidP="009A4EC9">
            <w:pPr>
              <w:jc w:val="center"/>
              <w:rPr>
                <w:rFonts w:ascii="Arial" w:hAnsi="Arial" w:cs="Arial"/>
                <w:b/>
              </w:rPr>
            </w:pPr>
            <w:r w:rsidRPr="00F90E84">
              <w:rPr>
                <w:rFonts w:ascii="Arial" w:hAnsi="Arial" w:cs="Arial"/>
                <w:b/>
              </w:rPr>
              <w:t>74</w:t>
            </w:r>
          </w:p>
        </w:tc>
        <w:tc>
          <w:tcPr>
            <w:tcW w:w="1495" w:type="dxa"/>
          </w:tcPr>
          <w:p w14:paraId="293C07CE" w14:textId="77777777" w:rsidR="001A2039" w:rsidRPr="00F90E84" w:rsidRDefault="001A2039" w:rsidP="009A4EC9">
            <w:pPr>
              <w:jc w:val="center"/>
              <w:rPr>
                <w:rFonts w:ascii="Arial" w:hAnsi="Arial" w:cs="Arial"/>
                <w:b/>
              </w:rPr>
            </w:pPr>
            <w:r w:rsidRPr="00F90E84">
              <w:rPr>
                <w:rFonts w:ascii="Arial" w:hAnsi="Arial" w:cs="Arial"/>
                <w:b/>
              </w:rPr>
              <w:t>199</w:t>
            </w:r>
          </w:p>
        </w:tc>
        <w:tc>
          <w:tcPr>
            <w:tcW w:w="1495" w:type="dxa"/>
          </w:tcPr>
          <w:p w14:paraId="7F0441CC" w14:textId="77777777" w:rsidR="001A2039" w:rsidRPr="00F90E84" w:rsidRDefault="001A2039" w:rsidP="009A4EC9">
            <w:pPr>
              <w:jc w:val="center"/>
              <w:rPr>
                <w:rFonts w:ascii="Arial" w:hAnsi="Arial" w:cs="Arial"/>
                <w:b/>
              </w:rPr>
            </w:pPr>
            <w:r w:rsidRPr="00F90E84">
              <w:rPr>
                <w:rFonts w:ascii="Arial" w:hAnsi="Arial" w:cs="Arial"/>
                <w:b/>
              </w:rPr>
              <w:t>112</w:t>
            </w:r>
          </w:p>
        </w:tc>
      </w:tr>
    </w:tbl>
    <w:p w14:paraId="50571183" w14:textId="77777777" w:rsidR="001A2039" w:rsidRPr="00F90E84" w:rsidRDefault="001A2039" w:rsidP="001A2039">
      <w:pPr>
        <w:jc w:val="center"/>
        <w:rPr>
          <w:rFonts w:ascii="Arial" w:hAnsi="Arial" w:cs="Arial"/>
          <w:spacing w:val="-4"/>
          <w:sz w:val="20"/>
        </w:rPr>
      </w:pPr>
      <w:r w:rsidRPr="00396BFB">
        <w:rPr>
          <w:rFonts w:ascii="Arial" w:hAnsi="Arial" w:cs="Arial"/>
          <w:b/>
          <w:spacing w:val="-4"/>
          <w:sz w:val="20"/>
        </w:rPr>
        <w:t>Fuente</w:t>
      </w:r>
      <w:r w:rsidRPr="00F90E84">
        <w:rPr>
          <w:rFonts w:ascii="Arial" w:hAnsi="Arial" w:cs="Arial"/>
          <w:spacing w:val="-4"/>
          <w:sz w:val="20"/>
        </w:rPr>
        <w:t>: Elaboración propia con base en ANUIES 2018.</w:t>
      </w:r>
    </w:p>
    <w:p w14:paraId="3747C0C8" w14:textId="77777777" w:rsidR="001A2039" w:rsidRPr="00F90E84" w:rsidRDefault="001A2039" w:rsidP="001A2039">
      <w:pPr>
        <w:jc w:val="both"/>
        <w:rPr>
          <w:rFonts w:ascii="Arial" w:hAnsi="Arial" w:cs="Arial"/>
        </w:rPr>
      </w:pPr>
      <w:r w:rsidRPr="00F90E84">
        <w:rPr>
          <w:rFonts w:ascii="Arial" w:hAnsi="Arial" w:cs="Arial"/>
        </w:rPr>
        <w:t>-Subespecialidad en Neonatología en IES Privadas</w:t>
      </w:r>
    </w:p>
    <w:p w14:paraId="56BB8B9A" w14:textId="77777777" w:rsidR="001A2039" w:rsidRPr="00F90E84" w:rsidRDefault="001A2039" w:rsidP="009A4EC9">
      <w:pPr>
        <w:spacing w:line="360" w:lineRule="auto"/>
        <w:jc w:val="both"/>
        <w:rPr>
          <w:rFonts w:ascii="Arial" w:hAnsi="Arial" w:cs="Arial"/>
        </w:rPr>
      </w:pPr>
      <w:r w:rsidRPr="00F90E84">
        <w:rPr>
          <w:rFonts w:ascii="Arial" w:hAnsi="Arial" w:cs="Arial"/>
        </w:rPr>
        <w:t xml:space="preserve">Es importante conocer la oferta académica nacional de la Subespecialidad contemplando ambos sectores, sin embargo, para fines del proyecto de actualización de la Subespecialidad en Neonatología el presente apartado se enfocará en la oferta de las IES privadas que puedan servir como referente para la Universidad. </w:t>
      </w:r>
    </w:p>
    <w:p w14:paraId="73E76FB4" w14:textId="77777777" w:rsidR="001A2039" w:rsidRPr="00F90E84" w:rsidRDefault="001A2039" w:rsidP="001A2039">
      <w:pPr>
        <w:jc w:val="both"/>
        <w:rPr>
          <w:rFonts w:ascii="Arial" w:hAnsi="Arial" w:cs="Arial"/>
        </w:rPr>
      </w:pPr>
      <w:r w:rsidRPr="00F90E84">
        <w:rPr>
          <w:rFonts w:ascii="Arial" w:hAnsi="Arial" w:cs="Arial"/>
        </w:rPr>
        <w:t>Las universidades que, de acuerdo con ANUIES-2018, ofertan la subespecialidad son:</w:t>
      </w:r>
    </w:p>
    <w:p w14:paraId="10B547A7" w14:textId="77777777" w:rsidR="001A2039" w:rsidRPr="00F90E84" w:rsidRDefault="001A2039" w:rsidP="001A2039">
      <w:pPr>
        <w:pStyle w:val="Prrafodelista"/>
        <w:numPr>
          <w:ilvl w:val="0"/>
          <w:numId w:val="6"/>
        </w:numPr>
        <w:jc w:val="both"/>
        <w:rPr>
          <w:rFonts w:ascii="Arial" w:hAnsi="Arial" w:cs="Arial"/>
        </w:rPr>
      </w:pPr>
      <w:r w:rsidRPr="00F90E84">
        <w:rPr>
          <w:rFonts w:ascii="Arial" w:hAnsi="Arial" w:cs="Arial"/>
        </w:rPr>
        <w:t>Universidad La Salle - México</w:t>
      </w:r>
    </w:p>
    <w:p w14:paraId="158A7D81" w14:textId="77777777" w:rsidR="001A2039" w:rsidRPr="00F90E84" w:rsidRDefault="001A2039" w:rsidP="001A2039">
      <w:pPr>
        <w:pStyle w:val="Prrafodelista"/>
        <w:numPr>
          <w:ilvl w:val="0"/>
          <w:numId w:val="6"/>
        </w:numPr>
        <w:jc w:val="both"/>
        <w:rPr>
          <w:rFonts w:ascii="Arial" w:hAnsi="Arial" w:cs="Arial"/>
        </w:rPr>
      </w:pPr>
      <w:r w:rsidRPr="00F90E84">
        <w:rPr>
          <w:rFonts w:ascii="Arial" w:hAnsi="Arial" w:cs="Arial"/>
        </w:rPr>
        <w:t>Instituto Tecnológico y de Estudios Superiores de Monterrey - Nuevo León</w:t>
      </w:r>
    </w:p>
    <w:p w14:paraId="7CFD7B4D" w14:textId="77777777" w:rsidR="001A2039" w:rsidRPr="00F90E84" w:rsidRDefault="001A2039" w:rsidP="001A2039">
      <w:pPr>
        <w:pStyle w:val="Prrafodelista"/>
        <w:numPr>
          <w:ilvl w:val="0"/>
          <w:numId w:val="6"/>
        </w:numPr>
        <w:jc w:val="both"/>
        <w:rPr>
          <w:rFonts w:ascii="Arial" w:hAnsi="Arial" w:cs="Arial"/>
        </w:rPr>
      </w:pPr>
      <w:r w:rsidRPr="00F90E84">
        <w:rPr>
          <w:rFonts w:ascii="Arial" w:hAnsi="Arial" w:cs="Arial"/>
        </w:rPr>
        <w:t>Universidad de Monterrey - Nuevo León</w:t>
      </w:r>
    </w:p>
    <w:p w14:paraId="23703714" w14:textId="77777777" w:rsidR="001A2039" w:rsidRPr="00F90E84" w:rsidRDefault="001A2039" w:rsidP="009A4EC9">
      <w:pPr>
        <w:spacing w:line="360" w:lineRule="auto"/>
        <w:jc w:val="both"/>
        <w:rPr>
          <w:rFonts w:ascii="Arial" w:hAnsi="Arial" w:cs="Arial"/>
        </w:rPr>
      </w:pPr>
      <w:r w:rsidRPr="00F90E84">
        <w:rPr>
          <w:rFonts w:ascii="Arial" w:hAnsi="Arial" w:cs="Arial"/>
        </w:rPr>
        <w:lastRenderedPageBreak/>
        <w:t>Del anterior listado se desprende que, en la Zona Metropolitana de la Ciudad de México, la única institución del sector privado que oferta la Subespecialidad en Neonatología es la Universidad La Salle México.</w:t>
      </w:r>
    </w:p>
    <w:p w14:paraId="22FDC8B8" w14:textId="5338DFDB" w:rsidR="001A2039" w:rsidRPr="00F90E84" w:rsidRDefault="001A2039" w:rsidP="009A4EC9">
      <w:pPr>
        <w:spacing w:line="360" w:lineRule="auto"/>
        <w:jc w:val="both"/>
        <w:rPr>
          <w:rFonts w:ascii="Arial" w:hAnsi="Arial" w:cs="Arial"/>
        </w:rPr>
      </w:pPr>
      <w:r w:rsidRPr="00F90E84">
        <w:rPr>
          <w:rFonts w:ascii="Arial" w:hAnsi="Arial" w:cs="Arial"/>
        </w:rPr>
        <w:t xml:space="preserve">Por otra parte, con la finalidad de investigar el comportamiento del programa en las IES privadas, se recurrió al estudio de la evolución de tres indicadores: el ingreso, la matrícula y egreso, en los últimos cinco años (2014-2018). La </w:t>
      </w:r>
      <w:r w:rsidRPr="00396BFB">
        <w:rPr>
          <w:rFonts w:ascii="Arial" w:hAnsi="Arial" w:cs="Arial"/>
        </w:rPr>
        <w:t>Gráfica 1</w:t>
      </w:r>
      <w:r w:rsidR="00396BFB" w:rsidRPr="00396BFB">
        <w:rPr>
          <w:rFonts w:ascii="Arial" w:hAnsi="Arial" w:cs="Arial"/>
        </w:rPr>
        <w:t>1</w:t>
      </w:r>
      <w:r w:rsidRPr="00F90E84">
        <w:rPr>
          <w:rFonts w:ascii="Arial" w:hAnsi="Arial" w:cs="Arial"/>
        </w:rPr>
        <w:t>, muestra el comportamiento de los tres indicadores de 2014 a 2018, en el caso del ingreso puede observarse una tendencia al crecimiento siendo, siendo 2017 el año en el que se una mayor concentración de residentes. Con relación a la matrícula, se observa un crecimiento más moderado, siendo 2016 el año en el que se observa menor concentración de especialistas. Finalmente, en el egreso se observa que la cifra asciende, con excepción de 2016 cuando mostró su valor más bajo.</w:t>
      </w:r>
    </w:p>
    <w:p w14:paraId="7D09F522" w14:textId="28E50470" w:rsidR="001A2039" w:rsidRPr="00F90E84" w:rsidRDefault="001A2039" w:rsidP="001A2039">
      <w:pPr>
        <w:jc w:val="center"/>
        <w:rPr>
          <w:rFonts w:ascii="Arial" w:hAnsi="Arial" w:cs="Arial"/>
          <w:b/>
          <w:bCs/>
        </w:rPr>
      </w:pPr>
      <w:r w:rsidRPr="00F90E84">
        <w:rPr>
          <w:rFonts w:ascii="Arial" w:hAnsi="Arial" w:cs="Arial"/>
          <w:b/>
        </w:rPr>
        <w:t>Gráfica 1</w:t>
      </w:r>
      <w:r w:rsidR="00396BFB">
        <w:rPr>
          <w:rFonts w:ascii="Arial" w:hAnsi="Arial" w:cs="Arial"/>
          <w:b/>
        </w:rPr>
        <w:t>1</w:t>
      </w:r>
      <w:r w:rsidRPr="00F90E84">
        <w:rPr>
          <w:rFonts w:ascii="Arial" w:hAnsi="Arial" w:cs="Arial"/>
          <w:b/>
        </w:rPr>
        <w:t>. Evolu</w:t>
      </w:r>
      <w:r w:rsidRPr="00F90E84">
        <w:rPr>
          <w:rFonts w:ascii="Arial" w:hAnsi="Arial" w:cs="Arial"/>
          <w:b/>
          <w:bCs/>
        </w:rPr>
        <w:t>ción del Ingreso, Matrícula y Egreso de Instituciones "PRIVADAS", que ofertan la Subespecialidad en Neonatología a Nivel Nacional en el Periodo de 2014 – 2018.</w:t>
      </w:r>
    </w:p>
    <w:p w14:paraId="020E25B2" w14:textId="77777777" w:rsidR="001A2039" w:rsidRPr="00F90E84" w:rsidRDefault="001A2039" w:rsidP="001A2039">
      <w:pPr>
        <w:jc w:val="center"/>
        <w:rPr>
          <w:rFonts w:ascii="Arial" w:hAnsi="Arial" w:cs="Arial"/>
          <w:b/>
          <w:bCs/>
        </w:rPr>
      </w:pPr>
      <w:r w:rsidRPr="00F90E84">
        <w:rPr>
          <w:rFonts w:ascii="Arial" w:hAnsi="Arial" w:cs="Arial"/>
          <w:noProof/>
          <w:lang w:eastAsia="es-MX"/>
        </w:rPr>
        <w:drawing>
          <wp:inline distT="0" distB="0" distL="0" distR="0" wp14:anchorId="17325448" wp14:editId="00D7FF9D">
            <wp:extent cx="4772025" cy="2900363"/>
            <wp:effectExtent l="0" t="0" r="9525" b="14605"/>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73C8D961" w14:textId="77777777" w:rsidR="001A2039" w:rsidRPr="00F90E84" w:rsidRDefault="001A2039" w:rsidP="001A2039">
      <w:pPr>
        <w:jc w:val="center"/>
        <w:rPr>
          <w:rFonts w:ascii="Arial" w:hAnsi="Arial" w:cs="Arial"/>
          <w:spacing w:val="-4"/>
          <w:sz w:val="20"/>
        </w:rPr>
      </w:pPr>
      <w:r w:rsidRPr="00396BFB">
        <w:rPr>
          <w:rFonts w:ascii="Arial" w:hAnsi="Arial" w:cs="Arial"/>
          <w:b/>
          <w:spacing w:val="-4"/>
          <w:sz w:val="20"/>
        </w:rPr>
        <w:t>Fuente</w:t>
      </w:r>
      <w:r w:rsidRPr="00F90E84">
        <w:rPr>
          <w:rFonts w:ascii="Arial" w:hAnsi="Arial" w:cs="Arial"/>
          <w:spacing w:val="-4"/>
          <w:sz w:val="20"/>
        </w:rPr>
        <w:t>: Elaboración propia con base en ANUIES 2014-2018.</w:t>
      </w:r>
    </w:p>
    <w:p w14:paraId="7B485586" w14:textId="77777777" w:rsidR="001A2039" w:rsidRPr="009A4EC9" w:rsidRDefault="001A2039" w:rsidP="009A4EC9">
      <w:pPr>
        <w:spacing w:line="360" w:lineRule="auto"/>
        <w:jc w:val="both"/>
        <w:rPr>
          <w:rFonts w:ascii="Arial" w:hAnsi="Arial" w:cs="Arial"/>
        </w:rPr>
      </w:pPr>
      <w:r w:rsidRPr="00F90E84">
        <w:rPr>
          <w:rFonts w:ascii="Arial" w:hAnsi="Arial" w:cs="Arial"/>
        </w:rPr>
        <w:t>Otro aspecto que brinda información acerca del comportamiento de la especialidad es la tasa de crecimiento en el ingreso, matrícula y egreso. Entre 2014 y 2018, las tasas de crecimiento promedio anual mostraron cifras positivas, que a su vez nos indican un crecimiento que se antepone al decremento en los tres indicadores, siendo la tasa de egreso la que mostró un porcentaje más elevado, sobre el ingreso y la matrícula (Tabla 3).</w:t>
      </w:r>
      <w:r w:rsidRPr="009A4EC9">
        <w:rPr>
          <w:rFonts w:ascii="Arial" w:hAnsi="Arial" w:cs="Arial"/>
        </w:rPr>
        <w:t xml:space="preserve">         </w:t>
      </w:r>
    </w:p>
    <w:p w14:paraId="0FC359E0" w14:textId="77777777" w:rsidR="001A2039" w:rsidRPr="00F90E84" w:rsidRDefault="001A2039" w:rsidP="001A2039">
      <w:pPr>
        <w:jc w:val="center"/>
        <w:rPr>
          <w:rFonts w:ascii="Arial" w:hAnsi="Arial" w:cs="Arial"/>
        </w:rPr>
      </w:pPr>
      <w:r w:rsidRPr="00F90E84">
        <w:rPr>
          <w:rFonts w:ascii="Arial" w:hAnsi="Arial" w:cs="Arial"/>
          <w:b/>
        </w:rPr>
        <w:lastRenderedPageBreak/>
        <w:t>Tabla 3. Tasas de Crecimiento Promedio Anual del Ingreso, Matrícula y Egreso de 2014 a 2018.</w:t>
      </w:r>
    </w:p>
    <w:tbl>
      <w:tblPr>
        <w:tblStyle w:val="Tablaconcuadrcula"/>
        <w:tblW w:w="0" w:type="auto"/>
        <w:jc w:val="center"/>
        <w:tblLook w:val="04A0" w:firstRow="1" w:lastRow="0" w:firstColumn="1" w:lastColumn="0" w:noHBand="0" w:noVBand="1"/>
      </w:tblPr>
      <w:tblGrid>
        <w:gridCol w:w="1696"/>
        <w:gridCol w:w="3828"/>
      </w:tblGrid>
      <w:tr w:rsidR="001A2039" w:rsidRPr="00F90E84" w14:paraId="66E5E93B" w14:textId="77777777" w:rsidTr="009A4EC9">
        <w:trPr>
          <w:jc w:val="center"/>
        </w:trPr>
        <w:tc>
          <w:tcPr>
            <w:tcW w:w="1696" w:type="dxa"/>
            <w:shd w:val="clear" w:color="auto" w:fill="2F5496" w:themeFill="accent5" w:themeFillShade="BF"/>
            <w:vAlign w:val="center"/>
          </w:tcPr>
          <w:p w14:paraId="545BAB88" w14:textId="77777777" w:rsidR="001A2039" w:rsidRPr="00F90E84" w:rsidRDefault="001A2039" w:rsidP="009A4EC9">
            <w:pPr>
              <w:jc w:val="center"/>
              <w:rPr>
                <w:rFonts w:ascii="Arial" w:hAnsi="Arial" w:cs="Arial"/>
                <w:b/>
                <w:color w:val="FFFFFF" w:themeColor="background1"/>
              </w:rPr>
            </w:pPr>
            <w:r w:rsidRPr="00F90E84">
              <w:rPr>
                <w:rFonts w:ascii="Arial" w:hAnsi="Arial" w:cs="Arial"/>
                <w:b/>
                <w:color w:val="FFFFFF" w:themeColor="background1"/>
              </w:rPr>
              <w:t>Indicador</w:t>
            </w:r>
          </w:p>
        </w:tc>
        <w:tc>
          <w:tcPr>
            <w:tcW w:w="3828" w:type="dxa"/>
            <w:shd w:val="clear" w:color="auto" w:fill="2F5496" w:themeFill="accent5" w:themeFillShade="BF"/>
            <w:vAlign w:val="center"/>
          </w:tcPr>
          <w:p w14:paraId="5BD07358" w14:textId="77777777" w:rsidR="001A2039" w:rsidRPr="00F90E84" w:rsidRDefault="001A2039" w:rsidP="009A4EC9">
            <w:pPr>
              <w:jc w:val="center"/>
              <w:rPr>
                <w:rFonts w:ascii="Arial" w:hAnsi="Arial" w:cs="Arial"/>
                <w:b/>
                <w:color w:val="FFFFFF" w:themeColor="background1"/>
              </w:rPr>
            </w:pPr>
            <w:r w:rsidRPr="00F90E84">
              <w:rPr>
                <w:rFonts w:ascii="Arial" w:hAnsi="Arial" w:cs="Arial"/>
                <w:b/>
                <w:color w:val="FFFFFF" w:themeColor="background1"/>
              </w:rPr>
              <w:t>Tasa de Crecimiento Promedio</w:t>
            </w:r>
          </w:p>
        </w:tc>
      </w:tr>
      <w:tr w:rsidR="001A2039" w:rsidRPr="00F90E84" w14:paraId="659729BE" w14:textId="77777777" w:rsidTr="009A4EC9">
        <w:trPr>
          <w:jc w:val="center"/>
        </w:trPr>
        <w:tc>
          <w:tcPr>
            <w:tcW w:w="1696" w:type="dxa"/>
          </w:tcPr>
          <w:p w14:paraId="1D317CB7" w14:textId="77777777" w:rsidR="001A2039" w:rsidRPr="00F90E84" w:rsidRDefault="001A2039" w:rsidP="009A4EC9">
            <w:pPr>
              <w:jc w:val="both"/>
              <w:rPr>
                <w:rFonts w:ascii="Arial" w:hAnsi="Arial" w:cs="Arial"/>
              </w:rPr>
            </w:pPr>
            <w:r w:rsidRPr="00F90E84">
              <w:rPr>
                <w:rFonts w:ascii="Arial" w:hAnsi="Arial" w:cs="Arial"/>
              </w:rPr>
              <w:t>Ingreso</w:t>
            </w:r>
          </w:p>
        </w:tc>
        <w:tc>
          <w:tcPr>
            <w:tcW w:w="3828" w:type="dxa"/>
          </w:tcPr>
          <w:p w14:paraId="0E8A2AC3" w14:textId="77777777" w:rsidR="001A2039" w:rsidRPr="00F90E84" w:rsidRDefault="001A2039" w:rsidP="009A4EC9">
            <w:pPr>
              <w:jc w:val="center"/>
              <w:rPr>
                <w:rFonts w:ascii="Arial" w:hAnsi="Arial" w:cs="Arial"/>
              </w:rPr>
            </w:pPr>
            <w:r w:rsidRPr="00F90E84">
              <w:rPr>
                <w:rFonts w:ascii="Arial" w:hAnsi="Arial" w:cs="Arial"/>
              </w:rPr>
              <w:t>14.25%</w:t>
            </w:r>
          </w:p>
        </w:tc>
      </w:tr>
      <w:tr w:rsidR="001A2039" w:rsidRPr="00F90E84" w14:paraId="1DE44ED1" w14:textId="77777777" w:rsidTr="009A4EC9">
        <w:trPr>
          <w:jc w:val="center"/>
        </w:trPr>
        <w:tc>
          <w:tcPr>
            <w:tcW w:w="1696" w:type="dxa"/>
          </w:tcPr>
          <w:p w14:paraId="732952FC" w14:textId="77777777" w:rsidR="001A2039" w:rsidRPr="00F90E84" w:rsidRDefault="001A2039" w:rsidP="009A4EC9">
            <w:pPr>
              <w:jc w:val="both"/>
              <w:rPr>
                <w:rFonts w:ascii="Arial" w:hAnsi="Arial" w:cs="Arial"/>
              </w:rPr>
            </w:pPr>
            <w:r w:rsidRPr="00F90E84">
              <w:rPr>
                <w:rFonts w:ascii="Arial" w:hAnsi="Arial" w:cs="Arial"/>
              </w:rPr>
              <w:t>Matrícula</w:t>
            </w:r>
          </w:p>
        </w:tc>
        <w:tc>
          <w:tcPr>
            <w:tcW w:w="3828" w:type="dxa"/>
          </w:tcPr>
          <w:p w14:paraId="13617C25" w14:textId="77777777" w:rsidR="001A2039" w:rsidRPr="00F90E84" w:rsidRDefault="001A2039" w:rsidP="009A4EC9">
            <w:pPr>
              <w:jc w:val="center"/>
              <w:rPr>
                <w:rFonts w:ascii="Arial" w:hAnsi="Arial" w:cs="Arial"/>
              </w:rPr>
            </w:pPr>
            <w:r w:rsidRPr="00F90E84">
              <w:rPr>
                <w:rFonts w:ascii="Arial" w:hAnsi="Arial" w:cs="Arial"/>
              </w:rPr>
              <w:t>4.87%</w:t>
            </w:r>
          </w:p>
        </w:tc>
      </w:tr>
      <w:tr w:rsidR="001A2039" w:rsidRPr="00F90E84" w14:paraId="355B94BC" w14:textId="77777777" w:rsidTr="009A4EC9">
        <w:trPr>
          <w:jc w:val="center"/>
        </w:trPr>
        <w:tc>
          <w:tcPr>
            <w:tcW w:w="1696" w:type="dxa"/>
          </w:tcPr>
          <w:p w14:paraId="5AB06451" w14:textId="77777777" w:rsidR="001A2039" w:rsidRPr="00F90E84" w:rsidRDefault="001A2039" w:rsidP="009A4EC9">
            <w:pPr>
              <w:jc w:val="both"/>
              <w:rPr>
                <w:rFonts w:ascii="Arial" w:hAnsi="Arial" w:cs="Arial"/>
              </w:rPr>
            </w:pPr>
            <w:r w:rsidRPr="00F90E84">
              <w:rPr>
                <w:rFonts w:ascii="Arial" w:hAnsi="Arial" w:cs="Arial"/>
              </w:rPr>
              <w:t>Egreso</w:t>
            </w:r>
          </w:p>
        </w:tc>
        <w:tc>
          <w:tcPr>
            <w:tcW w:w="3828" w:type="dxa"/>
          </w:tcPr>
          <w:p w14:paraId="3C0560B3" w14:textId="77777777" w:rsidR="001A2039" w:rsidRPr="00F90E84" w:rsidRDefault="001A2039" w:rsidP="009A4EC9">
            <w:pPr>
              <w:jc w:val="center"/>
              <w:rPr>
                <w:rFonts w:ascii="Arial" w:hAnsi="Arial" w:cs="Arial"/>
              </w:rPr>
            </w:pPr>
            <w:r w:rsidRPr="00F90E84">
              <w:rPr>
                <w:rFonts w:ascii="Arial" w:hAnsi="Arial" w:cs="Arial"/>
              </w:rPr>
              <w:t>43.12%</w:t>
            </w:r>
          </w:p>
        </w:tc>
      </w:tr>
    </w:tbl>
    <w:p w14:paraId="1565C4BE" w14:textId="77777777" w:rsidR="001A2039" w:rsidRPr="00F90E84" w:rsidRDefault="001A2039" w:rsidP="001A2039">
      <w:pPr>
        <w:jc w:val="center"/>
        <w:rPr>
          <w:rFonts w:ascii="Arial" w:hAnsi="Arial" w:cs="Arial"/>
          <w:spacing w:val="-4"/>
          <w:sz w:val="20"/>
        </w:rPr>
      </w:pPr>
      <w:r w:rsidRPr="00396BFB">
        <w:rPr>
          <w:rFonts w:ascii="Arial" w:hAnsi="Arial" w:cs="Arial"/>
          <w:b/>
          <w:spacing w:val="-4"/>
          <w:sz w:val="20"/>
        </w:rPr>
        <w:t>Fuente</w:t>
      </w:r>
      <w:r w:rsidRPr="00F90E84">
        <w:rPr>
          <w:rFonts w:ascii="Arial" w:hAnsi="Arial" w:cs="Arial"/>
          <w:spacing w:val="-4"/>
          <w:sz w:val="20"/>
        </w:rPr>
        <w:t>: Elaboración propia con base en ANUIES 2014-2018.</w:t>
      </w:r>
    </w:p>
    <w:p w14:paraId="7C397BB2" w14:textId="79F9BA32" w:rsidR="001A2039" w:rsidRPr="00F90E84" w:rsidRDefault="009A4EC9" w:rsidP="009A4EC9">
      <w:pPr>
        <w:spacing w:line="360" w:lineRule="auto"/>
        <w:jc w:val="both"/>
        <w:rPr>
          <w:rFonts w:ascii="Arial" w:hAnsi="Arial" w:cs="Arial"/>
        </w:rPr>
      </w:pPr>
      <w:r>
        <w:rPr>
          <w:rFonts w:ascii="Arial" w:hAnsi="Arial" w:cs="Arial"/>
        </w:rPr>
        <w:t>E</w:t>
      </w:r>
      <w:r w:rsidR="001A2039" w:rsidRPr="00F90E84">
        <w:rPr>
          <w:rFonts w:ascii="Arial" w:hAnsi="Arial" w:cs="Arial"/>
        </w:rPr>
        <w:t xml:space="preserve">n cuanto al ingreso, matrícula y egreso que concentran cada una de las IES privadas que ofertan la especialidad, en la </w:t>
      </w:r>
      <w:r w:rsidR="001A2039" w:rsidRPr="00396BFB">
        <w:rPr>
          <w:rFonts w:ascii="Arial" w:hAnsi="Arial" w:cs="Arial"/>
        </w:rPr>
        <w:t xml:space="preserve">Gráfica </w:t>
      </w:r>
      <w:r w:rsidR="00396BFB" w:rsidRPr="00396BFB">
        <w:rPr>
          <w:rFonts w:ascii="Arial" w:hAnsi="Arial" w:cs="Arial"/>
        </w:rPr>
        <w:t>1</w:t>
      </w:r>
      <w:r w:rsidR="001A2039" w:rsidRPr="00396BFB">
        <w:rPr>
          <w:rFonts w:ascii="Arial" w:hAnsi="Arial" w:cs="Arial"/>
        </w:rPr>
        <w:t>2</w:t>
      </w:r>
      <w:r w:rsidR="001A2039" w:rsidRPr="00F90E84">
        <w:rPr>
          <w:rFonts w:ascii="Arial" w:hAnsi="Arial" w:cs="Arial"/>
        </w:rPr>
        <w:t xml:space="preserve"> puede observarse que la institución con mayor número de residentes es la Universidad La Salle, seguida por la Universidad de Monterrey y por último el Instituto Tecnológico y de Estudios Superiores de Monterrey. En 2018, la Universidad La Salle México reportó en ANUIES una matrícula de 16 residentes, de forma que a nivel nacional y contemplando ambos sectores tiene un porcentaje de participación en la formación de neonatólogos de 8.04. En el caso de considerar únicamente al sector privado, su participación asciende al 44.44% a nivel nacional.</w:t>
      </w:r>
    </w:p>
    <w:p w14:paraId="444B513A" w14:textId="5ACBEECD" w:rsidR="001A2039" w:rsidRPr="00F90E84" w:rsidRDefault="00396BFB" w:rsidP="001A2039">
      <w:pPr>
        <w:jc w:val="center"/>
        <w:rPr>
          <w:rFonts w:ascii="Arial" w:hAnsi="Arial" w:cs="Arial"/>
        </w:rPr>
      </w:pPr>
      <w:r>
        <w:rPr>
          <w:rFonts w:ascii="Arial" w:hAnsi="Arial" w:cs="Arial"/>
          <w:b/>
          <w:bCs/>
        </w:rPr>
        <w:t>Gráfica</w:t>
      </w:r>
      <w:r w:rsidR="001A2039" w:rsidRPr="00F90E84">
        <w:rPr>
          <w:rFonts w:ascii="Arial" w:hAnsi="Arial" w:cs="Arial"/>
          <w:b/>
          <w:bCs/>
        </w:rPr>
        <w:t xml:space="preserve"> </w:t>
      </w:r>
      <w:r>
        <w:rPr>
          <w:rFonts w:ascii="Arial" w:hAnsi="Arial" w:cs="Arial"/>
          <w:b/>
          <w:bCs/>
        </w:rPr>
        <w:t>1</w:t>
      </w:r>
      <w:r w:rsidR="001A2039" w:rsidRPr="00F90E84">
        <w:rPr>
          <w:rFonts w:ascii="Arial" w:hAnsi="Arial" w:cs="Arial"/>
          <w:b/>
          <w:bCs/>
        </w:rPr>
        <w:t>2. Ingreso, Matrícula y Egreso de las IES Privadas a Nivel Nacional en el Periodo de 2014 a 2018 de la Subespecialidad en Neonatología.</w:t>
      </w:r>
    </w:p>
    <w:p w14:paraId="1877F7C3" w14:textId="77777777" w:rsidR="001A2039" w:rsidRPr="00F90E84" w:rsidRDefault="001A2039" w:rsidP="001A2039">
      <w:pPr>
        <w:jc w:val="both"/>
        <w:rPr>
          <w:rFonts w:ascii="Arial" w:hAnsi="Arial" w:cs="Arial"/>
        </w:rPr>
      </w:pPr>
      <w:r w:rsidRPr="00F90E84">
        <w:rPr>
          <w:rFonts w:ascii="Arial" w:hAnsi="Arial" w:cs="Arial"/>
          <w:noProof/>
          <w:lang w:eastAsia="es-MX"/>
        </w:rPr>
        <w:drawing>
          <wp:inline distT="0" distB="0" distL="0" distR="0" wp14:anchorId="7975D903" wp14:editId="39134406">
            <wp:extent cx="5762846" cy="3413052"/>
            <wp:effectExtent l="0" t="0" r="9525" b="16510"/>
            <wp:docPr id="22" name="Gráfico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4D68B793" w14:textId="5249B337" w:rsidR="001A2039" w:rsidRPr="00F90E84" w:rsidRDefault="00396BFB" w:rsidP="001A2039">
      <w:pPr>
        <w:jc w:val="center"/>
        <w:rPr>
          <w:rFonts w:ascii="Arial" w:hAnsi="Arial" w:cs="Arial"/>
          <w:spacing w:val="-4"/>
          <w:sz w:val="20"/>
        </w:rPr>
      </w:pPr>
      <w:r>
        <w:rPr>
          <w:rFonts w:ascii="Arial" w:hAnsi="Arial" w:cs="Arial"/>
          <w:b/>
          <w:spacing w:val="-4"/>
          <w:sz w:val="20"/>
        </w:rPr>
        <w:t xml:space="preserve">    </w:t>
      </w:r>
      <w:r w:rsidR="001A2039" w:rsidRPr="00396BFB">
        <w:rPr>
          <w:rFonts w:ascii="Arial" w:hAnsi="Arial" w:cs="Arial"/>
          <w:b/>
          <w:spacing w:val="-4"/>
          <w:sz w:val="20"/>
        </w:rPr>
        <w:t>Fuente</w:t>
      </w:r>
      <w:r w:rsidR="001A2039" w:rsidRPr="00F90E84">
        <w:rPr>
          <w:rFonts w:ascii="Arial" w:hAnsi="Arial" w:cs="Arial"/>
          <w:spacing w:val="-4"/>
          <w:sz w:val="20"/>
        </w:rPr>
        <w:t>: Elaboración propia con base en ANUIES 2014-2018.</w:t>
      </w:r>
    </w:p>
    <w:p w14:paraId="45576409" w14:textId="52C338E2" w:rsidR="001A2039" w:rsidRDefault="009A4EC9" w:rsidP="009A4EC9">
      <w:pPr>
        <w:spacing w:line="360" w:lineRule="auto"/>
        <w:jc w:val="both"/>
        <w:rPr>
          <w:rFonts w:ascii="Arial" w:hAnsi="Arial" w:cs="Arial"/>
        </w:rPr>
      </w:pPr>
      <w:r>
        <w:rPr>
          <w:rFonts w:ascii="Arial" w:hAnsi="Arial" w:cs="Arial"/>
        </w:rPr>
        <w:t>S</w:t>
      </w:r>
      <w:r w:rsidR="001A2039" w:rsidRPr="00F90E84">
        <w:rPr>
          <w:rFonts w:ascii="Arial" w:hAnsi="Arial" w:cs="Arial"/>
        </w:rPr>
        <w:t xml:space="preserve">e puede señalar que, si bien es importante la formación de especialistas en Pediatría, también es importante considerar la formación de subespecialistas en Neonatología para </w:t>
      </w:r>
      <w:r w:rsidR="001A2039" w:rsidRPr="00F90E84">
        <w:rPr>
          <w:rFonts w:ascii="Arial" w:hAnsi="Arial" w:cs="Arial"/>
        </w:rPr>
        <w:lastRenderedPageBreak/>
        <w:t>brindar a la población los servicios de salud que requiere. Asimismo, es importante que el número de plazas se incrementé y que, tanto la formación, como el ejercicio de la subespecialidad, vaya más a allá de las zonas metropolitanas ya que, como señala Guevara (2017), los residentes se concentran en las grandes ciudades. En cuanto al comportamiento del programa, se observó que cuenta con tasas de crecimiento positivas en los indicadores de ingreso, matrícula y egreso; además, se encontró que el porcentaje de participación de la Universidad La Salle en la formación de subespecialistas en Neonatología es elevado respecto a otros programas que la institución oferta, ya que a nivel nacional y en ambos sectores es de 8.04%, mientras que a nivel nacional, pero contemplando únicamente el sector privado se eleva a 44.44%,  porcentaje que a su vez compromete a la institución a ofertar un programa de calidad a los residentes quienes cuentan con un número reducido de opciones para cursar la subespecialidad.</w:t>
      </w:r>
    </w:p>
    <w:p w14:paraId="4D7F6765" w14:textId="0CEE8126" w:rsidR="00D82CF2" w:rsidRPr="00D82CF2" w:rsidRDefault="00D82CF2" w:rsidP="00D82CF2">
      <w:pPr>
        <w:spacing w:line="360" w:lineRule="auto"/>
        <w:jc w:val="both"/>
        <w:rPr>
          <w:rFonts w:ascii="Arial" w:hAnsi="Arial" w:cs="Arial"/>
        </w:rPr>
      </w:pPr>
      <w:r w:rsidRPr="00D82CF2">
        <w:rPr>
          <w:rFonts w:ascii="Arial" w:hAnsi="Arial" w:cs="Arial"/>
        </w:rPr>
        <w:t xml:space="preserve">Las Instituciones que ofrecen la Especialidad en Neonatología en convenio con la Universidad La Salle, son: Hospital Ángeles del Pedregal, Hospital Español y Hospital ISSSTE Zaragoza. Por lo que se refiere al Ingreso, el Hospital Español cuenta con el mayor número de estudiantes 6; seguido del Hospital Ángeles del Pedregal, cuyos datos indican una constante de 2 durante el periodo de 2012 a 2018; y por último el Hospital </w:t>
      </w:r>
      <w:r w:rsidR="008D4BD0">
        <w:rPr>
          <w:rFonts w:ascii="Arial" w:hAnsi="Arial" w:cs="Arial"/>
        </w:rPr>
        <w:t xml:space="preserve">del </w:t>
      </w:r>
      <w:r w:rsidRPr="00D82CF2">
        <w:rPr>
          <w:rFonts w:ascii="Arial" w:hAnsi="Arial" w:cs="Arial"/>
        </w:rPr>
        <w:t xml:space="preserve">ISSSTE Zaragoza muestra datos menores, sin embargo, en el último año se posicionó con 2. </w:t>
      </w:r>
    </w:p>
    <w:p w14:paraId="2BAE7279" w14:textId="77777777" w:rsidR="00D82CF2" w:rsidRPr="00D82CF2" w:rsidRDefault="00D82CF2" w:rsidP="00D82CF2">
      <w:pPr>
        <w:pStyle w:val="Default"/>
        <w:jc w:val="both"/>
        <w:rPr>
          <w:color w:val="auto"/>
          <w:sz w:val="22"/>
          <w:szCs w:val="22"/>
        </w:rPr>
      </w:pPr>
    </w:p>
    <w:p w14:paraId="5E6A4B32" w14:textId="02E24E48" w:rsidR="00D82CF2" w:rsidRPr="00D82CF2" w:rsidRDefault="00D82CF2" w:rsidP="00D82CF2">
      <w:pPr>
        <w:spacing w:line="360" w:lineRule="auto"/>
        <w:jc w:val="both"/>
        <w:rPr>
          <w:rFonts w:ascii="Arial" w:hAnsi="Arial" w:cs="Arial"/>
        </w:rPr>
      </w:pPr>
      <w:r w:rsidRPr="00D82CF2">
        <w:rPr>
          <w:rFonts w:ascii="Arial" w:hAnsi="Arial" w:cs="Arial"/>
        </w:rPr>
        <w:t>En cuanto a los datos de Matrícula, el Hospital Españo</w:t>
      </w:r>
      <w:r>
        <w:rPr>
          <w:rFonts w:ascii="Arial" w:hAnsi="Arial" w:cs="Arial"/>
        </w:rPr>
        <w:t xml:space="preserve">l contaba con </w:t>
      </w:r>
      <w:r w:rsidRPr="00D82CF2">
        <w:rPr>
          <w:rFonts w:ascii="Arial" w:hAnsi="Arial" w:cs="Arial"/>
        </w:rPr>
        <w:t>30</w:t>
      </w:r>
      <w:r>
        <w:rPr>
          <w:rFonts w:ascii="Arial" w:hAnsi="Arial" w:cs="Arial"/>
        </w:rPr>
        <w:t xml:space="preserve"> estudiantes</w:t>
      </w:r>
      <w:r w:rsidRPr="00D82CF2">
        <w:rPr>
          <w:rFonts w:ascii="Arial" w:hAnsi="Arial" w:cs="Arial"/>
        </w:rPr>
        <w:t xml:space="preserve"> durante los</w:t>
      </w:r>
      <w:r>
        <w:rPr>
          <w:rFonts w:ascii="Arial" w:hAnsi="Arial" w:cs="Arial"/>
        </w:rPr>
        <w:t xml:space="preserve"> años 2014 y 2016 y </w:t>
      </w:r>
      <w:r w:rsidRPr="00D82CF2">
        <w:rPr>
          <w:rFonts w:ascii="Arial" w:hAnsi="Arial" w:cs="Arial"/>
        </w:rPr>
        <w:t xml:space="preserve">en </w:t>
      </w:r>
      <w:r>
        <w:rPr>
          <w:rFonts w:ascii="Arial" w:hAnsi="Arial" w:cs="Arial"/>
        </w:rPr>
        <w:t>los últimos dos años fueron</w:t>
      </w:r>
      <w:r w:rsidRPr="00D82CF2">
        <w:rPr>
          <w:rFonts w:ascii="Arial" w:hAnsi="Arial" w:cs="Arial"/>
        </w:rPr>
        <w:t xml:space="preserve"> 10</w:t>
      </w:r>
      <w:r>
        <w:rPr>
          <w:rFonts w:ascii="Arial" w:hAnsi="Arial" w:cs="Arial"/>
        </w:rPr>
        <w:t xml:space="preserve"> estudiantes</w:t>
      </w:r>
      <w:r w:rsidRPr="00D82CF2">
        <w:rPr>
          <w:rFonts w:ascii="Arial" w:hAnsi="Arial" w:cs="Arial"/>
        </w:rPr>
        <w:t>; en el Hospital Ángeles del Pedregal reporta datos sostenidos</w:t>
      </w:r>
      <w:r>
        <w:rPr>
          <w:rFonts w:ascii="Arial" w:hAnsi="Arial" w:cs="Arial"/>
        </w:rPr>
        <w:t>,</w:t>
      </w:r>
      <w:r w:rsidRPr="00D82CF2">
        <w:rPr>
          <w:rFonts w:ascii="Arial" w:hAnsi="Arial" w:cs="Arial"/>
        </w:rPr>
        <w:t xml:space="preserve"> 4</w:t>
      </w:r>
      <w:r>
        <w:rPr>
          <w:rFonts w:ascii="Arial" w:hAnsi="Arial" w:cs="Arial"/>
        </w:rPr>
        <w:t xml:space="preserve"> estudiantes</w:t>
      </w:r>
      <w:r w:rsidRPr="00D82CF2">
        <w:rPr>
          <w:rFonts w:ascii="Arial" w:hAnsi="Arial" w:cs="Arial"/>
        </w:rPr>
        <w:t xml:space="preserve"> durante el periodo 2012 a 2018; y por último el Hospital </w:t>
      </w:r>
      <w:r>
        <w:rPr>
          <w:rFonts w:ascii="Arial" w:hAnsi="Arial" w:cs="Arial"/>
        </w:rPr>
        <w:t>ISSSTE Zaragoza contó con</w:t>
      </w:r>
      <w:r w:rsidRPr="00D82CF2">
        <w:rPr>
          <w:rFonts w:ascii="Arial" w:hAnsi="Arial" w:cs="Arial"/>
        </w:rPr>
        <w:t xml:space="preserve"> 2 </w:t>
      </w:r>
      <w:r>
        <w:rPr>
          <w:rFonts w:ascii="Arial" w:hAnsi="Arial" w:cs="Arial"/>
        </w:rPr>
        <w:t xml:space="preserve">estudiantes </w:t>
      </w:r>
      <w:r w:rsidRPr="00D82CF2">
        <w:rPr>
          <w:rFonts w:ascii="Arial" w:hAnsi="Arial" w:cs="Arial"/>
        </w:rPr>
        <w:t xml:space="preserve">en los últimos dos años. </w:t>
      </w:r>
    </w:p>
    <w:p w14:paraId="2ED3A2B1" w14:textId="77777777" w:rsidR="00D82CF2" w:rsidRPr="00D82CF2" w:rsidRDefault="00D82CF2" w:rsidP="00D82CF2">
      <w:pPr>
        <w:pStyle w:val="Default"/>
        <w:jc w:val="both"/>
        <w:rPr>
          <w:color w:val="auto"/>
          <w:sz w:val="22"/>
          <w:szCs w:val="22"/>
        </w:rPr>
      </w:pPr>
    </w:p>
    <w:p w14:paraId="08153EDD" w14:textId="15D21A25" w:rsidR="00D82CF2" w:rsidRDefault="00D82CF2" w:rsidP="00D82CF2">
      <w:pPr>
        <w:spacing w:line="360" w:lineRule="auto"/>
        <w:jc w:val="both"/>
        <w:rPr>
          <w:rFonts w:ascii="Arial" w:hAnsi="Arial" w:cs="Arial"/>
        </w:rPr>
      </w:pPr>
      <w:r w:rsidRPr="00D82CF2">
        <w:rPr>
          <w:rFonts w:ascii="Arial" w:hAnsi="Arial" w:cs="Arial"/>
        </w:rPr>
        <w:t>Sobre los datos de Egreso, el Hospital Español predomina pese a que sus datos disminuyeron en los últimos dos años, con tan solo 5 y 6; y en cuanto a los Hospitales Ángeles del Pedregal e ISSSTE Zaragoza, los datos muestran una constancia de 2 durante el periodo 2012 a 2018.</w:t>
      </w:r>
    </w:p>
    <w:p w14:paraId="3841C3A6" w14:textId="4DFB98B6" w:rsidR="007811C6" w:rsidRDefault="007811C6" w:rsidP="00D82CF2">
      <w:pPr>
        <w:spacing w:line="360" w:lineRule="auto"/>
        <w:jc w:val="both"/>
        <w:rPr>
          <w:rFonts w:ascii="Arial" w:hAnsi="Arial" w:cs="Arial"/>
        </w:rPr>
      </w:pPr>
    </w:p>
    <w:p w14:paraId="481E5D0D" w14:textId="77777777" w:rsidR="007811C6" w:rsidRPr="00D82CF2" w:rsidRDefault="007811C6" w:rsidP="00D82CF2">
      <w:pPr>
        <w:spacing w:line="360" w:lineRule="auto"/>
        <w:jc w:val="both"/>
        <w:rPr>
          <w:rFonts w:ascii="Arial" w:hAnsi="Arial" w:cs="Arial"/>
        </w:rPr>
      </w:pPr>
    </w:p>
    <w:p w14:paraId="3219609B" w14:textId="77777777" w:rsidR="00D82CF2" w:rsidRPr="00D82CF2" w:rsidRDefault="00D82CF2" w:rsidP="00D82CF2">
      <w:pPr>
        <w:pStyle w:val="Default"/>
        <w:jc w:val="both"/>
        <w:rPr>
          <w:color w:val="auto"/>
          <w:sz w:val="22"/>
          <w:szCs w:val="22"/>
        </w:rPr>
      </w:pPr>
    </w:p>
    <w:p w14:paraId="129BD641" w14:textId="6A56E5CF" w:rsidR="00D82CF2" w:rsidRPr="00D82CF2" w:rsidRDefault="007811C6" w:rsidP="00D82CF2">
      <w:pPr>
        <w:spacing w:line="360" w:lineRule="auto"/>
        <w:jc w:val="both"/>
        <w:rPr>
          <w:rFonts w:ascii="Arial" w:hAnsi="Arial" w:cs="Arial"/>
        </w:rPr>
      </w:pPr>
      <w:r>
        <w:rPr>
          <w:rFonts w:ascii="Arial" w:hAnsi="Arial" w:cs="Arial"/>
        </w:rPr>
        <w:lastRenderedPageBreak/>
        <w:t>En la siguiente Gráfica 13</w:t>
      </w:r>
      <w:r w:rsidR="00D82CF2" w:rsidRPr="00D82CF2">
        <w:rPr>
          <w:rFonts w:ascii="Arial" w:hAnsi="Arial" w:cs="Arial"/>
        </w:rPr>
        <w:t>, en</w:t>
      </w:r>
      <w:r w:rsidR="00D82CF2">
        <w:rPr>
          <w:rFonts w:ascii="Arial" w:hAnsi="Arial" w:cs="Arial"/>
        </w:rPr>
        <w:t xml:space="preserve"> los rubros de Ingreso, Matrí</w:t>
      </w:r>
      <w:r w:rsidR="00D82CF2" w:rsidRPr="00D82CF2">
        <w:rPr>
          <w:rFonts w:ascii="Arial" w:hAnsi="Arial" w:cs="Arial"/>
        </w:rPr>
        <w:t xml:space="preserve">cula y Egreso sobre las tres Instituciones, nos indican que el Ingreso a aumentado en comparación de los años anteriores, la Matrícula ha disminuido respecto al 2016 y el Egreso ha aumentado durante los últimos dos años. La tasa de crecimiento es: Ingreso 26%, Matrícula 28% y Egreso 59%. </w:t>
      </w:r>
    </w:p>
    <w:p w14:paraId="245AC4A9" w14:textId="77777777" w:rsidR="00D82CF2" w:rsidRPr="00D82CF2" w:rsidRDefault="00D82CF2" w:rsidP="00D82CF2">
      <w:pPr>
        <w:pStyle w:val="Default"/>
        <w:jc w:val="both"/>
        <w:rPr>
          <w:sz w:val="23"/>
          <w:szCs w:val="23"/>
        </w:rPr>
      </w:pPr>
    </w:p>
    <w:p w14:paraId="493755D8" w14:textId="1B30D7C3" w:rsidR="00D82CF2" w:rsidRPr="00D82CF2" w:rsidRDefault="007811C6" w:rsidP="00D82CF2">
      <w:pPr>
        <w:pStyle w:val="Default"/>
        <w:jc w:val="center"/>
        <w:rPr>
          <w:b/>
          <w:sz w:val="22"/>
          <w:szCs w:val="22"/>
        </w:rPr>
      </w:pPr>
      <w:r>
        <w:rPr>
          <w:b/>
          <w:sz w:val="22"/>
          <w:szCs w:val="22"/>
        </w:rPr>
        <w:t>Gráfica 13</w:t>
      </w:r>
      <w:r w:rsidR="00D82CF2" w:rsidRPr="00D82CF2">
        <w:rPr>
          <w:b/>
          <w:sz w:val="22"/>
          <w:szCs w:val="22"/>
        </w:rPr>
        <w:t xml:space="preserve">. Evolución de Ingreso, Matrícula y Egreso de la Especialidad en </w:t>
      </w:r>
    </w:p>
    <w:p w14:paraId="6AE52020" w14:textId="77777777" w:rsidR="00D82CF2" w:rsidRPr="00D82CF2" w:rsidRDefault="00D82CF2" w:rsidP="00D82CF2">
      <w:pPr>
        <w:pStyle w:val="Default"/>
        <w:jc w:val="center"/>
        <w:rPr>
          <w:b/>
          <w:sz w:val="22"/>
          <w:szCs w:val="22"/>
        </w:rPr>
      </w:pPr>
      <w:r w:rsidRPr="00D82CF2">
        <w:rPr>
          <w:b/>
          <w:sz w:val="22"/>
          <w:szCs w:val="22"/>
        </w:rPr>
        <w:t>Neonatología</w:t>
      </w:r>
      <w:r w:rsidRPr="00D82CF2">
        <w:rPr>
          <w:noProof/>
          <w:lang w:eastAsia="es-MX"/>
        </w:rPr>
        <w:t xml:space="preserve"> </w:t>
      </w:r>
      <w:r w:rsidRPr="00D82CF2">
        <w:rPr>
          <w:b/>
          <w:sz w:val="22"/>
          <w:szCs w:val="22"/>
        </w:rPr>
        <w:t>2012 a 2018.</w:t>
      </w:r>
    </w:p>
    <w:p w14:paraId="730E519A" w14:textId="77777777" w:rsidR="00D82CF2" w:rsidRPr="00D82CF2" w:rsidRDefault="00D82CF2" w:rsidP="00D82CF2">
      <w:pPr>
        <w:pStyle w:val="Default"/>
        <w:jc w:val="both"/>
        <w:rPr>
          <w:sz w:val="23"/>
          <w:szCs w:val="23"/>
        </w:rPr>
      </w:pPr>
      <w:r w:rsidRPr="00D82CF2">
        <w:rPr>
          <w:noProof/>
          <w:lang w:eastAsia="es-MX"/>
        </w:rPr>
        <w:drawing>
          <wp:anchor distT="0" distB="0" distL="114300" distR="114300" simplePos="0" relativeHeight="251659264" behindDoc="0" locked="0" layoutInCell="1" allowOverlap="1" wp14:anchorId="6957042F" wp14:editId="4A487EE7">
            <wp:simplePos x="0" y="0"/>
            <wp:positionH relativeFrom="margin">
              <wp:align>center</wp:align>
            </wp:positionH>
            <wp:positionV relativeFrom="paragraph">
              <wp:posOffset>7620</wp:posOffset>
            </wp:positionV>
            <wp:extent cx="4552950" cy="2743200"/>
            <wp:effectExtent l="0" t="0" r="0" b="0"/>
            <wp:wrapNone/>
            <wp:docPr id="17" name="Gráfico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14:sizeRelH relativeFrom="margin">
              <wp14:pctWidth>0</wp14:pctWidth>
            </wp14:sizeRelH>
          </wp:anchor>
        </w:drawing>
      </w:r>
    </w:p>
    <w:p w14:paraId="075D6308" w14:textId="77777777" w:rsidR="00D82CF2" w:rsidRPr="00D82CF2" w:rsidRDefault="00D82CF2" w:rsidP="00D82CF2">
      <w:pPr>
        <w:pStyle w:val="Default"/>
        <w:jc w:val="both"/>
        <w:rPr>
          <w:sz w:val="23"/>
          <w:szCs w:val="23"/>
        </w:rPr>
      </w:pPr>
    </w:p>
    <w:p w14:paraId="24ACD48B" w14:textId="77777777" w:rsidR="00D82CF2" w:rsidRPr="00D82CF2" w:rsidRDefault="00D82CF2" w:rsidP="00D82CF2">
      <w:pPr>
        <w:pStyle w:val="Default"/>
        <w:jc w:val="both"/>
        <w:rPr>
          <w:sz w:val="23"/>
          <w:szCs w:val="23"/>
        </w:rPr>
      </w:pPr>
    </w:p>
    <w:p w14:paraId="15629989" w14:textId="77777777" w:rsidR="00D82CF2" w:rsidRPr="00D82CF2" w:rsidRDefault="00D82CF2" w:rsidP="00D82CF2">
      <w:pPr>
        <w:pStyle w:val="Default"/>
        <w:jc w:val="both"/>
        <w:rPr>
          <w:sz w:val="23"/>
          <w:szCs w:val="23"/>
        </w:rPr>
      </w:pPr>
    </w:p>
    <w:p w14:paraId="02A8E9BA" w14:textId="77777777" w:rsidR="00D82CF2" w:rsidRPr="00D82CF2" w:rsidRDefault="00D82CF2" w:rsidP="00D82CF2">
      <w:pPr>
        <w:pStyle w:val="Default"/>
        <w:jc w:val="both"/>
        <w:rPr>
          <w:sz w:val="23"/>
          <w:szCs w:val="23"/>
        </w:rPr>
      </w:pPr>
    </w:p>
    <w:p w14:paraId="251B2697" w14:textId="77777777" w:rsidR="00D82CF2" w:rsidRPr="00D82CF2" w:rsidRDefault="00D82CF2" w:rsidP="00D82CF2">
      <w:pPr>
        <w:pStyle w:val="Default"/>
        <w:jc w:val="both"/>
        <w:rPr>
          <w:sz w:val="23"/>
          <w:szCs w:val="23"/>
        </w:rPr>
      </w:pPr>
    </w:p>
    <w:p w14:paraId="1DA4342B" w14:textId="77777777" w:rsidR="00D82CF2" w:rsidRPr="00D82CF2" w:rsidRDefault="00D82CF2" w:rsidP="00D82CF2">
      <w:pPr>
        <w:pStyle w:val="Default"/>
        <w:jc w:val="both"/>
        <w:rPr>
          <w:sz w:val="23"/>
          <w:szCs w:val="23"/>
        </w:rPr>
      </w:pPr>
    </w:p>
    <w:p w14:paraId="3F7220C6" w14:textId="77777777" w:rsidR="00D82CF2" w:rsidRPr="00D82CF2" w:rsidRDefault="00D82CF2" w:rsidP="00D82CF2">
      <w:pPr>
        <w:pStyle w:val="Default"/>
        <w:jc w:val="both"/>
        <w:rPr>
          <w:sz w:val="23"/>
          <w:szCs w:val="23"/>
        </w:rPr>
      </w:pPr>
    </w:p>
    <w:p w14:paraId="18602CE4" w14:textId="77777777" w:rsidR="00D82CF2" w:rsidRPr="00D82CF2" w:rsidRDefault="00D82CF2" w:rsidP="00D82CF2">
      <w:pPr>
        <w:pStyle w:val="Default"/>
        <w:jc w:val="both"/>
        <w:rPr>
          <w:sz w:val="23"/>
          <w:szCs w:val="23"/>
        </w:rPr>
      </w:pPr>
    </w:p>
    <w:p w14:paraId="3CA6DBF4" w14:textId="77777777" w:rsidR="00D82CF2" w:rsidRPr="00D82CF2" w:rsidRDefault="00D82CF2" w:rsidP="00D82CF2">
      <w:pPr>
        <w:pStyle w:val="Default"/>
        <w:jc w:val="both"/>
        <w:rPr>
          <w:sz w:val="23"/>
          <w:szCs w:val="23"/>
        </w:rPr>
      </w:pPr>
    </w:p>
    <w:p w14:paraId="6850F129" w14:textId="77777777" w:rsidR="00D82CF2" w:rsidRPr="00D82CF2" w:rsidRDefault="00D82CF2" w:rsidP="00D82CF2">
      <w:pPr>
        <w:pStyle w:val="Default"/>
        <w:jc w:val="both"/>
        <w:rPr>
          <w:sz w:val="23"/>
          <w:szCs w:val="23"/>
        </w:rPr>
      </w:pPr>
    </w:p>
    <w:p w14:paraId="0440A3B7" w14:textId="77777777" w:rsidR="00D82CF2" w:rsidRPr="00D82CF2" w:rsidRDefault="00D82CF2" w:rsidP="00D82CF2">
      <w:pPr>
        <w:pStyle w:val="Default"/>
        <w:jc w:val="both"/>
        <w:rPr>
          <w:sz w:val="23"/>
          <w:szCs w:val="23"/>
        </w:rPr>
      </w:pPr>
    </w:p>
    <w:p w14:paraId="3ED55396" w14:textId="77777777" w:rsidR="00D82CF2" w:rsidRPr="00D82CF2" w:rsidRDefault="00D82CF2" w:rsidP="00D82CF2">
      <w:pPr>
        <w:pStyle w:val="Default"/>
        <w:jc w:val="both"/>
        <w:rPr>
          <w:sz w:val="23"/>
          <w:szCs w:val="23"/>
        </w:rPr>
      </w:pPr>
    </w:p>
    <w:p w14:paraId="68A9FFCE" w14:textId="77777777" w:rsidR="00D82CF2" w:rsidRDefault="00D82CF2" w:rsidP="00D82CF2">
      <w:pPr>
        <w:pStyle w:val="Sinespaciado"/>
        <w:jc w:val="center"/>
        <w:rPr>
          <w:rFonts w:ascii="Arial" w:hAnsi="Arial" w:cs="Arial"/>
          <w:sz w:val="18"/>
        </w:rPr>
      </w:pPr>
    </w:p>
    <w:p w14:paraId="6B33BE0E" w14:textId="77777777" w:rsidR="00D82CF2" w:rsidRDefault="00D82CF2" w:rsidP="00D82CF2">
      <w:pPr>
        <w:pStyle w:val="Sinespaciado"/>
        <w:jc w:val="center"/>
        <w:rPr>
          <w:rFonts w:ascii="Arial" w:hAnsi="Arial" w:cs="Arial"/>
          <w:sz w:val="18"/>
        </w:rPr>
      </w:pPr>
    </w:p>
    <w:p w14:paraId="4BAF2865" w14:textId="77777777" w:rsidR="00D82CF2" w:rsidRDefault="00D82CF2" w:rsidP="00D82CF2">
      <w:pPr>
        <w:pStyle w:val="Sinespaciado"/>
        <w:jc w:val="center"/>
        <w:rPr>
          <w:rFonts w:ascii="Arial" w:hAnsi="Arial" w:cs="Arial"/>
          <w:sz w:val="18"/>
        </w:rPr>
      </w:pPr>
    </w:p>
    <w:p w14:paraId="306ECAD4" w14:textId="77777777" w:rsidR="00D82CF2" w:rsidRDefault="00D82CF2" w:rsidP="00D82CF2">
      <w:pPr>
        <w:pStyle w:val="Sinespaciado"/>
        <w:jc w:val="center"/>
        <w:rPr>
          <w:rFonts w:ascii="Arial" w:hAnsi="Arial" w:cs="Arial"/>
          <w:sz w:val="18"/>
        </w:rPr>
      </w:pPr>
    </w:p>
    <w:p w14:paraId="228DFC61" w14:textId="77777777" w:rsidR="00D82CF2" w:rsidRDefault="00D82CF2" w:rsidP="00D82CF2">
      <w:pPr>
        <w:pStyle w:val="Sinespaciado"/>
        <w:jc w:val="center"/>
        <w:rPr>
          <w:rFonts w:ascii="Arial" w:hAnsi="Arial" w:cs="Arial"/>
          <w:sz w:val="18"/>
        </w:rPr>
      </w:pPr>
    </w:p>
    <w:p w14:paraId="18F46C80" w14:textId="256804D4" w:rsidR="00D82CF2" w:rsidRPr="00D82CF2" w:rsidRDefault="00D82CF2" w:rsidP="00D82CF2">
      <w:pPr>
        <w:pStyle w:val="Sinespaciado"/>
        <w:jc w:val="center"/>
        <w:rPr>
          <w:rFonts w:ascii="Arial" w:hAnsi="Arial" w:cs="Arial"/>
          <w:sz w:val="18"/>
        </w:rPr>
      </w:pPr>
      <w:r w:rsidRPr="00D82CF2">
        <w:rPr>
          <w:rFonts w:ascii="Arial" w:hAnsi="Arial" w:cs="Arial"/>
          <w:sz w:val="18"/>
        </w:rPr>
        <w:t>Fuente: Elaboración propia con base en datos de la Facultad Mexicana de Medicina 2012 a 2018.</w:t>
      </w:r>
    </w:p>
    <w:p w14:paraId="73F31728" w14:textId="77777777" w:rsidR="00D82CF2" w:rsidRPr="00D82CF2" w:rsidRDefault="00D82CF2" w:rsidP="00D82CF2">
      <w:pPr>
        <w:pStyle w:val="Default"/>
        <w:jc w:val="both"/>
        <w:rPr>
          <w:sz w:val="23"/>
          <w:szCs w:val="23"/>
        </w:rPr>
      </w:pPr>
    </w:p>
    <w:p w14:paraId="44A57ABF" w14:textId="77777777" w:rsidR="001A2039" w:rsidRPr="00F90E84" w:rsidRDefault="001A2039" w:rsidP="001A2039">
      <w:pPr>
        <w:jc w:val="both"/>
        <w:rPr>
          <w:rFonts w:ascii="Arial" w:hAnsi="Arial" w:cs="Arial"/>
        </w:rPr>
      </w:pPr>
    </w:p>
    <w:p w14:paraId="563A3D7E" w14:textId="195A655E" w:rsidR="00C7513D" w:rsidRDefault="00C7513D" w:rsidP="001A2039">
      <w:pPr>
        <w:spacing w:line="360" w:lineRule="auto"/>
        <w:jc w:val="both"/>
        <w:rPr>
          <w:rFonts w:ascii="Arial" w:hAnsi="Arial" w:cs="Arial"/>
        </w:rPr>
      </w:pPr>
    </w:p>
    <w:p w14:paraId="3BEF7887" w14:textId="6C568A0D" w:rsidR="00010DAC" w:rsidRDefault="00010DAC" w:rsidP="001A2039">
      <w:pPr>
        <w:spacing w:line="360" w:lineRule="auto"/>
        <w:jc w:val="both"/>
        <w:rPr>
          <w:rFonts w:ascii="Arial" w:hAnsi="Arial" w:cs="Arial"/>
        </w:rPr>
      </w:pPr>
    </w:p>
    <w:p w14:paraId="4EFB039E" w14:textId="6962FB95" w:rsidR="00010DAC" w:rsidRDefault="00010DAC" w:rsidP="001A2039">
      <w:pPr>
        <w:spacing w:line="360" w:lineRule="auto"/>
        <w:jc w:val="both"/>
        <w:rPr>
          <w:rFonts w:ascii="Arial" w:hAnsi="Arial" w:cs="Arial"/>
        </w:rPr>
      </w:pPr>
    </w:p>
    <w:p w14:paraId="155A76E5" w14:textId="2BE60259" w:rsidR="00010DAC" w:rsidRDefault="00010DAC" w:rsidP="001A2039">
      <w:pPr>
        <w:spacing w:line="360" w:lineRule="auto"/>
        <w:jc w:val="both"/>
        <w:rPr>
          <w:rFonts w:ascii="Arial" w:hAnsi="Arial" w:cs="Arial"/>
        </w:rPr>
      </w:pPr>
    </w:p>
    <w:p w14:paraId="31F4D3D8" w14:textId="3CCC863B" w:rsidR="00010DAC" w:rsidRDefault="00010DAC" w:rsidP="001A2039">
      <w:pPr>
        <w:spacing w:line="360" w:lineRule="auto"/>
        <w:jc w:val="both"/>
        <w:rPr>
          <w:rFonts w:ascii="Arial" w:hAnsi="Arial" w:cs="Arial"/>
        </w:rPr>
      </w:pPr>
    </w:p>
    <w:p w14:paraId="0D4652D7" w14:textId="5407D2F0" w:rsidR="00010DAC" w:rsidRDefault="00010DAC" w:rsidP="001A2039">
      <w:pPr>
        <w:spacing w:line="360" w:lineRule="auto"/>
        <w:jc w:val="both"/>
        <w:rPr>
          <w:rFonts w:ascii="Arial" w:hAnsi="Arial" w:cs="Arial"/>
        </w:rPr>
      </w:pPr>
    </w:p>
    <w:p w14:paraId="4B341987" w14:textId="06FCB597" w:rsidR="00010DAC" w:rsidRDefault="00010DAC" w:rsidP="001A2039">
      <w:pPr>
        <w:spacing w:line="360" w:lineRule="auto"/>
        <w:jc w:val="both"/>
        <w:rPr>
          <w:rFonts w:ascii="Arial" w:hAnsi="Arial" w:cs="Arial"/>
        </w:rPr>
      </w:pPr>
    </w:p>
    <w:p w14:paraId="27CF1196" w14:textId="648E5342" w:rsidR="00010DAC" w:rsidRDefault="00010DAC" w:rsidP="001A2039">
      <w:pPr>
        <w:spacing w:line="360" w:lineRule="auto"/>
        <w:jc w:val="both"/>
        <w:rPr>
          <w:rFonts w:ascii="Arial" w:hAnsi="Arial" w:cs="Arial"/>
        </w:rPr>
      </w:pPr>
    </w:p>
    <w:p w14:paraId="431D03B0" w14:textId="77777777" w:rsidR="00E67DE1" w:rsidRDefault="00E67DE1" w:rsidP="001A2039">
      <w:pPr>
        <w:spacing w:line="360" w:lineRule="auto"/>
        <w:jc w:val="both"/>
        <w:rPr>
          <w:rFonts w:ascii="Arial" w:hAnsi="Arial" w:cs="Arial"/>
        </w:rPr>
      </w:pPr>
    </w:p>
    <w:p w14:paraId="73C7E1C6" w14:textId="2C829ED2" w:rsidR="00010DAC" w:rsidRDefault="00010DAC" w:rsidP="00010DAC">
      <w:pPr>
        <w:pStyle w:val="Sinespaciado"/>
        <w:jc w:val="both"/>
        <w:rPr>
          <w:rFonts w:ascii="Arial" w:hAnsi="Arial" w:cs="Arial"/>
        </w:rPr>
      </w:pPr>
    </w:p>
    <w:p w14:paraId="2A13B3EF" w14:textId="77777777" w:rsidR="00010DAC" w:rsidRPr="00235A67" w:rsidRDefault="00010DAC" w:rsidP="00010DAC">
      <w:pPr>
        <w:pStyle w:val="Sinespaciado"/>
        <w:jc w:val="both"/>
        <w:rPr>
          <w:rFonts w:ascii="Arial" w:hAnsi="Arial" w:cs="Arial"/>
        </w:rPr>
      </w:pPr>
    </w:p>
    <w:p w14:paraId="562D5892" w14:textId="77777777" w:rsidR="00010DAC" w:rsidRDefault="00010DAC" w:rsidP="00010DAC">
      <w:pPr>
        <w:pStyle w:val="Sinespaciado"/>
        <w:jc w:val="both"/>
        <w:rPr>
          <w:rFonts w:ascii="Arial" w:hAnsi="Arial" w:cs="Arial"/>
          <w:b/>
        </w:rPr>
      </w:pPr>
      <w:r w:rsidRPr="001F5AA8">
        <w:rPr>
          <w:rFonts w:ascii="Arial" w:hAnsi="Arial" w:cs="Arial"/>
          <w:b/>
        </w:rPr>
        <w:t>BIBLIOGRAFÍA</w:t>
      </w:r>
    </w:p>
    <w:p w14:paraId="24ABCBC2" w14:textId="77777777" w:rsidR="00010DAC" w:rsidRPr="001F5AA8" w:rsidRDefault="00010DAC" w:rsidP="00010DAC">
      <w:pPr>
        <w:pStyle w:val="Sinespaciado"/>
        <w:jc w:val="both"/>
        <w:rPr>
          <w:rFonts w:ascii="Arial" w:hAnsi="Arial" w:cs="Arial"/>
          <w:b/>
        </w:rPr>
      </w:pPr>
    </w:p>
    <w:p w14:paraId="6DB48879" w14:textId="77777777" w:rsidR="00010DAC" w:rsidRDefault="00010DAC" w:rsidP="00010DAC">
      <w:pPr>
        <w:pStyle w:val="Sinespaciado"/>
        <w:jc w:val="both"/>
        <w:rPr>
          <w:rFonts w:ascii="Arial" w:hAnsi="Arial" w:cs="Arial"/>
        </w:rPr>
      </w:pPr>
      <w:r w:rsidRPr="001F4E31">
        <w:rPr>
          <w:rFonts w:ascii="Arial" w:hAnsi="Arial" w:cs="Arial"/>
        </w:rPr>
        <w:t xml:space="preserve">Bland, C. </w:t>
      </w:r>
      <w:r w:rsidRPr="001F4E31">
        <w:rPr>
          <w:rFonts w:ascii="Arial" w:hAnsi="Arial" w:cs="Arial"/>
          <w:i/>
        </w:rPr>
        <w:t>et al.</w:t>
      </w:r>
      <w:r w:rsidRPr="001F4E31">
        <w:rPr>
          <w:rFonts w:ascii="Arial" w:hAnsi="Arial" w:cs="Arial"/>
        </w:rPr>
        <w:t xml:space="preserve"> </w:t>
      </w:r>
      <w:r w:rsidRPr="001F4E31">
        <w:rPr>
          <w:rFonts w:ascii="Arial" w:hAnsi="Arial" w:cs="Arial"/>
          <w:lang w:val="en-US"/>
        </w:rPr>
        <w:t xml:space="preserve">(1995). Determinants of primary care specialty choice: A non-statistical meta-analysis of the literature. </w:t>
      </w:r>
      <w:r w:rsidRPr="001F4E31">
        <w:rPr>
          <w:rFonts w:ascii="Arial" w:hAnsi="Arial" w:cs="Arial"/>
          <w:i/>
        </w:rPr>
        <w:t>Acad Med</w:t>
      </w:r>
      <w:r w:rsidRPr="001F4E31">
        <w:rPr>
          <w:rFonts w:ascii="Arial" w:hAnsi="Arial" w:cs="Arial"/>
        </w:rPr>
        <w:t xml:space="preserve">, </w:t>
      </w:r>
      <w:r w:rsidRPr="001F4E31">
        <w:rPr>
          <w:rFonts w:ascii="Arial" w:hAnsi="Arial" w:cs="Arial"/>
          <w:i/>
        </w:rPr>
        <w:t>70</w:t>
      </w:r>
      <w:r w:rsidRPr="001F4E31">
        <w:rPr>
          <w:rFonts w:ascii="Arial" w:hAnsi="Arial" w:cs="Arial"/>
        </w:rPr>
        <w:t>(7), 620–641.</w:t>
      </w:r>
    </w:p>
    <w:p w14:paraId="41E4703C" w14:textId="77777777" w:rsidR="00010DAC" w:rsidRPr="001F4E31" w:rsidRDefault="00010DAC" w:rsidP="00010DAC">
      <w:pPr>
        <w:pStyle w:val="Sinespaciado"/>
        <w:jc w:val="both"/>
        <w:rPr>
          <w:rFonts w:ascii="Arial" w:hAnsi="Arial" w:cs="Arial"/>
        </w:rPr>
      </w:pPr>
    </w:p>
    <w:p w14:paraId="73B28563" w14:textId="77777777" w:rsidR="00010DAC" w:rsidRDefault="00010DAC" w:rsidP="00010DAC">
      <w:pPr>
        <w:pStyle w:val="Sinespaciado"/>
        <w:jc w:val="both"/>
        <w:rPr>
          <w:rFonts w:ascii="Arial" w:hAnsi="Arial" w:cs="Arial"/>
        </w:rPr>
      </w:pPr>
      <w:r w:rsidRPr="001F4E31">
        <w:rPr>
          <w:rFonts w:ascii="Arial" w:hAnsi="Arial" w:cs="Arial"/>
        </w:rPr>
        <w:t xml:space="preserve">Cárdenas, R. (2010). Desafíos de la atención a la salud. En B. García y M. Ordorica (Coords.), </w:t>
      </w:r>
      <w:r w:rsidRPr="001F4E31">
        <w:rPr>
          <w:rFonts w:ascii="Arial" w:hAnsi="Arial" w:cs="Arial"/>
          <w:i/>
        </w:rPr>
        <w:t>Los grandes problemas de México: Población (</w:t>
      </w:r>
      <w:r w:rsidRPr="001F4E31">
        <w:rPr>
          <w:rFonts w:ascii="Arial" w:hAnsi="Arial" w:cs="Arial"/>
        </w:rPr>
        <w:t>pp.105-136)</w:t>
      </w:r>
      <w:r w:rsidRPr="001F4E31">
        <w:rPr>
          <w:rFonts w:ascii="Arial" w:hAnsi="Arial" w:cs="Arial"/>
          <w:i/>
        </w:rPr>
        <w:t>.</w:t>
      </w:r>
      <w:r w:rsidRPr="001F4E31">
        <w:rPr>
          <w:rFonts w:ascii="Arial" w:hAnsi="Arial" w:cs="Arial"/>
        </w:rPr>
        <w:t xml:space="preserve"> México: El Colegio de México.</w:t>
      </w:r>
    </w:p>
    <w:p w14:paraId="22B40DC5" w14:textId="77777777" w:rsidR="00010DAC" w:rsidRPr="001F4E31" w:rsidRDefault="00010DAC" w:rsidP="00010DAC">
      <w:pPr>
        <w:pStyle w:val="Sinespaciado"/>
        <w:jc w:val="both"/>
        <w:rPr>
          <w:rFonts w:ascii="Arial" w:hAnsi="Arial" w:cs="Arial"/>
        </w:rPr>
      </w:pPr>
    </w:p>
    <w:p w14:paraId="7080FA22" w14:textId="77777777" w:rsidR="00010DAC" w:rsidRDefault="00010DAC" w:rsidP="00010DAC">
      <w:pPr>
        <w:pStyle w:val="Sinespaciado"/>
        <w:jc w:val="both"/>
        <w:rPr>
          <w:rFonts w:ascii="Arial" w:hAnsi="Arial" w:cs="Arial"/>
        </w:rPr>
      </w:pPr>
      <w:r w:rsidRPr="001F4E31">
        <w:rPr>
          <w:rFonts w:ascii="Arial" w:hAnsi="Arial" w:cs="Arial"/>
        </w:rPr>
        <w:t xml:space="preserve">CONAPO (2018). </w:t>
      </w:r>
      <w:r w:rsidRPr="001F4E31">
        <w:rPr>
          <w:rFonts w:ascii="Arial" w:hAnsi="Arial" w:cs="Arial"/>
          <w:i/>
        </w:rPr>
        <w:t>Proyecciones de población de México y de las entidades federativas 2016-2050.</w:t>
      </w:r>
      <w:r w:rsidRPr="001F4E31">
        <w:rPr>
          <w:rFonts w:ascii="Arial" w:hAnsi="Arial" w:cs="Arial"/>
        </w:rPr>
        <w:t xml:space="preserve"> CONAPO. México. [En línea].  http://www.conapo.gob.mx. [Consulta el 1 de febrero de 2019]. </w:t>
      </w:r>
    </w:p>
    <w:p w14:paraId="1F08D3B4" w14:textId="77777777" w:rsidR="00010DAC" w:rsidRPr="001F4E31" w:rsidRDefault="00010DAC" w:rsidP="00010DAC">
      <w:pPr>
        <w:pStyle w:val="Sinespaciado"/>
        <w:jc w:val="both"/>
        <w:rPr>
          <w:rFonts w:ascii="Arial" w:hAnsi="Arial" w:cs="Arial"/>
        </w:rPr>
      </w:pPr>
    </w:p>
    <w:p w14:paraId="30AE62DA" w14:textId="77777777" w:rsidR="00010DAC" w:rsidRDefault="00010DAC" w:rsidP="00010DAC">
      <w:pPr>
        <w:pStyle w:val="Sinespaciado"/>
        <w:jc w:val="both"/>
        <w:rPr>
          <w:rFonts w:ascii="Arial" w:hAnsi="Arial" w:cs="Arial"/>
        </w:rPr>
      </w:pPr>
      <w:r w:rsidRPr="001F4E31">
        <w:rPr>
          <w:rFonts w:ascii="Arial" w:hAnsi="Arial" w:cs="Arial"/>
        </w:rPr>
        <w:t>Constitución Política de los Estados Unidos Mexicanos. Diario Oficial de la Federación, Ciudad de México, México, 06 de junio de 2019.</w:t>
      </w:r>
    </w:p>
    <w:p w14:paraId="2D132375" w14:textId="77777777" w:rsidR="00010DAC" w:rsidRDefault="00010DAC" w:rsidP="00010DAC">
      <w:pPr>
        <w:pStyle w:val="Sinespaciado"/>
        <w:jc w:val="both"/>
        <w:rPr>
          <w:rFonts w:ascii="Arial" w:hAnsi="Arial" w:cs="Arial"/>
        </w:rPr>
      </w:pPr>
    </w:p>
    <w:p w14:paraId="5244064F" w14:textId="77777777" w:rsidR="00010DAC" w:rsidRPr="00350C6D" w:rsidRDefault="00010DAC" w:rsidP="00010DAC">
      <w:pPr>
        <w:pStyle w:val="Sinespaciado"/>
        <w:jc w:val="both"/>
        <w:rPr>
          <w:rFonts w:ascii="Arial" w:hAnsi="Arial" w:cs="Arial"/>
        </w:rPr>
      </w:pPr>
      <w:r w:rsidRPr="00010DAC">
        <w:rPr>
          <w:rFonts w:ascii="Arial" w:hAnsi="Arial" w:cs="Arial"/>
        </w:rPr>
        <w:t xml:space="preserve">Duarte, B. </w:t>
      </w:r>
      <w:r w:rsidRPr="00010DAC">
        <w:rPr>
          <w:rFonts w:ascii="Arial" w:hAnsi="Arial" w:cs="Arial"/>
          <w:i/>
        </w:rPr>
        <w:t>et al</w:t>
      </w:r>
      <w:r w:rsidRPr="00010DAC">
        <w:rPr>
          <w:rFonts w:ascii="Arial" w:hAnsi="Arial" w:cs="Arial"/>
        </w:rPr>
        <w:t xml:space="preserve">. (2015). </w:t>
      </w:r>
      <w:r w:rsidRPr="00EB0188">
        <w:rPr>
          <w:rFonts w:ascii="Arial" w:hAnsi="Arial" w:cs="Arial"/>
        </w:rPr>
        <w:t xml:space="preserve">Determinantes sociales de la mortalidad en municipios de bajp </w:t>
      </w:r>
      <w:r>
        <w:rPr>
          <w:rFonts w:ascii="Arial" w:hAnsi="Arial" w:cs="Arial"/>
        </w:rPr>
        <w:t xml:space="preserve">índice humano en México. </w:t>
      </w:r>
      <w:r w:rsidRPr="00350C6D">
        <w:rPr>
          <w:rFonts w:ascii="Arial" w:hAnsi="Arial" w:cs="Arial"/>
          <w:i/>
        </w:rPr>
        <w:t>Boletín médico del Hospital Infantil de México</w:t>
      </w:r>
      <w:r w:rsidRPr="00350C6D">
        <w:rPr>
          <w:rFonts w:ascii="Arial" w:hAnsi="Arial" w:cs="Arial"/>
        </w:rPr>
        <w:t xml:space="preserve">. México: Hospital Infantil. </w:t>
      </w:r>
    </w:p>
    <w:p w14:paraId="16B2F77E" w14:textId="77777777" w:rsidR="00010DAC" w:rsidRPr="00350C6D" w:rsidRDefault="00010DAC" w:rsidP="00010DAC">
      <w:pPr>
        <w:pStyle w:val="Sinespaciado"/>
        <w:jc w:val="both"/>
        <w:rPr>
          <w:rFonts w:ascii="Arial" w:hAnsi="Arial" w:cs="Arial"/>
        </w:rPr>
      </w:pPr>
    </w:p>
    <w:p w14:paraId="6ACD5ABD" w14:textId="77777777" w:rsidR="00010DAC" w:rsidRDefault="00010DAC" w:rsidP="00010DAC">
      <w:pPr>
        <w:pStyle w:val="Sinespaciado"/>
        <w:jc w:val="both"/>
        <w:rPr>
          <w:rFonts w:ascii="Arial" w:hAnsi="Arial" w:cs="Arial"/>
        </w:rPr>
      </w:pPr>
      <w:r w:rsidRPr="001F4E31">
        <w:rPr>
          <w:rFonts w:ascii="Arial" w:hAnsi="Arial" w:cs="Arial"/>
          <w:lang w:val="en-US"/>
        </w:rPr>
        <w:t xml:space="preserve">Dussault, G. y M. Franceschini (2006). Not enough there, too many here: Understanding geographical imbalances in the distribution of the health workforce. </w:t>
      </w:r>
      <w:r w:rsidRPr="001F4E31">
        <w:rPr>
          <w:rFonts w:ascii="Arial" w:hAnsi="Arial" w:cs="Arial"/>
          <w:i/>
        </w:rPr>
        <w:t>Human Resources for Health</w:t>
      </w:r>
      <w:r w:rsidRPr="001F4E31">
        <w:rPr>
          <w:rFonts w:ascii="Arial" w:hAnsi="Arial" w:cs="Arial"/>
        </w:rPr>
        <w:t xml:space="preserve">, </w:t>
      </w:r>
      <w:r w:rsidRPr="001F4E31">
        <w:rPr>
          <w:rFonts w:ascii="Arial" w:hAnsi="Arial" w:cs="Arial"/>
          <w:i/>
        </w:rPr>
        <w:t>4</w:t>
      </w:r>
      <w:r w:rsidRPr="001F4E31">
        <w:rPr>
          <w:rFonts w:ascii="Arial" w:hAnsi="Arial" w:cs="Arial"/>
        </w:rPr>
        <w:t>(12), 1-16.</w:t>
      </w:r>
    </w:p>
    <w:p w14:paraId="631EE6D0" w14:textId="77777777" w:rsidR="00010DAC" w:rsidRPr="001F4E31" w:rsidRDefault="00010DAC" w:rsidP="00010DAC">
      <w:pPr>
        <w:pStyle w:val="Sinespaciado"/>
        <w:jc w:val="both"/>
        <w:rPr>
          <w:rFonts w:ascii="Arial" w:hAnsi="Arial" w:cs="Arial"/>
        </w:rPr>
      </w:pPr>
    </w:p>
    <w:p w14:paraId="3389B7F8" w14:textId="77777777" w:rsidR="00010DAC" w:rsidRDefault="00010DAC" w:rsidP="00010DAC">
      <w:pPr>
        <w:pStyle w:val="Sinespaciado"/>
        <w:jc w:val="both"/>
        <w:rPr>
          <w:rFonts w:ascii="Arial" w:hAnsi="Arial" w:cs="Arial"/>
        </w:rPr>
      </w:pPr>
      <w:r w:rsidRPr="001F4E31">
        <w:rPr>
          <w:rFonts w:ascii="Arial" w:hAnsi="Arial" w:cs="Arial"/>
        </w:rPr>
        <w:t xml:space="preserve">Fajardo, G. </w:t>
      </w:r>
      <w:r w:rsidRPr="001F4E31">
        <w:rPr>
          <w:rFonts w:ascii="Arial" w:hAnsi="Arial" w:cs="Arial"/>
          <w:i/>
        </w:rPr>
        <w:t xml:space="preserve">et al. </w:t>
      </w:r>
      <w:r w:rsidRPr="001F4E31">
        <w:rPr>
          <w:rFonts w:ascii="Arial" w:hAnsi="Arial" w:cs="Arial"/>
        </w:rPr>
        <w:t xml:space="preserve">(2015). </w:t>
      </w:r>
      <w:r w:rsidRPr="001F4E31">
        <w:rPr>
          <w:rFonts w:ascii="Arial" w:hAnsi="Arial" w:cs="Arial"/>
          <w:i/>
        </w:rPr>
        <w:t xml:space="preserve">La formación de médicos especialistas en México. </w:t>
      </w:r>
      <w:r w:rsidRPr="001F4E31">
        <w:rPr>
          <w:rFonts w:ascii="Arial" w:hAnsi="Arial" w:cs="Arial"/>
        </w:rPr>
        <w:t>México: Academia Nacional de Medicina.</w:t>
      </w:r>
    </w:p>
    <w:p w14:paraId="456368FB" w14:textId="77777777" w:rsidR="00010DAC" w:rsidRPr="001F4E31" w:rsidRDefault="00010DAC" w:rsidP="00010DAC">
      <w:pPr>
        <w:pStyle w:val="Sinespaciado"/>
        <w:jc w:val="both"/>
        <w:rPr>
          <w:rFonts w:ascii="Arial" w:hAnsi="Arial" w:cs="Arial"/>
        </w:rPr>
      </w:pPr>
    </w:p>
    <w:p w14:paraId="11BF2E64" w14:textId="77777777" w:rsidR="00010DAC" w:rsidRDefault="00010DAC" w:rsidP="00010DAC">
      <w:pPr>
        <w:pStyle w:val="Sinespaciado"/>
        <w:jc w:val="both"/>
        <w:rPr>
          <w:rFonts w:ascii="Arial" w:hAnsi="Arial" w:cs="Arial"/>
        </w:rPr>
      </w:pPr>
      <w:r w:rsidRPr="001F4E31">
        <w:rPr>
          <w:rFonts w:ascii="Arial" w:hAnsi="Arial" w:cs="Arial"/>
        </w:rPr>
        <w:t xml:space="preserve">Frenk, J. </w:t>
      </w:r>
      <w:r w:rsidRPr="001F4E31">
        <w:rPr>
          <w:rFonts w:ascii="Arial" w:hAnsi="Arial" w:cs="Arial"/>
          <w:i/>
        </w:rPr>
        <w:t xml:space="preserve"> et al.</w:t>
      </w:r>
      <w:r w:rsidRPr="001F4E31">
        <w:rPr>
          <w:rFonts w:ascii="Arial" w:hAnsi="Arial" w:cs="Arial"/>
        </w:rPr>
        <w:t xml:space="preserve"> (1991a). Elementos para una teoría de la transición en salud. </w:t>
      </w:r>
      <w:r w:rsidRPr="001F4E31">
        <w:rPr>
          <w:rFonts w:ascii="Arial" w:hAnsi="Arial" w:cs="Arial"/>
          <w:i/>
        </w:rPr>
        <w:t>Salud Pública de México</w:t>
      </w:r>
      <w:r w:rsidRPr="001F4E31">
        <w:rPr>
          <w:rFonts w:ascii="Arial" w:hAnsi="Arial" w:cs="Arial"/>
        </w:rPr>
        <w:t xml:space="preserve">, </w:t>
      </w:r>
      <w:r w:rsidRPr="001F4E31">
        <w:rPr>
          <w:rFonts w:ascii="Arial" w:hAnsi="Arial" w:cs="Arial"/>
          <w:i/>
        </w:rPr>
        <w:t>33</w:t>
      </w:r>
      <w:r w:rsidRPr="001F4E31">
        <w:rPr>
          <w:rFonts w:ascii="Arial" w:hAnsi="Arial" w:cs="Arial"/>
        </w:rPr>
        <w:t>(5), 448-462.</w:t>
      </w:r>
    </w:p>
    <w:p w14:paraId="6E63778F" w14:textId="77777777" w:rsidR="00010DAC" w:rsidRPr="001F4E31" w:rsidRDefault="00010DAC" w:rsidP="00010DAC">
      <w:pPr>
        <w:pStyle w:val="Sinespaciado"/>
        <w:jc w:val="both"/>
        <w:rPr>
          <w:rFonts w:ascii="Arial" w:hAnsi="Arial" w:cs="Arial"/>
        </w:rPr>
      </w:pPr>
    </w:p>
    <w:p w14:paraId="78EEA2DB" w14:textId="77777777" w:rsidR="00010DAC" w:rsidRDefault="00010DAC" w:rsidP="00010DAC">
      <w:pPr>
        <w:pStyle w:val="Sinespaciado"/>
        <w:jc w:val="both"/>
        <w:rPr>
          <w:rFonts w:ascii="Arial" w:hAnsi="Arial" w:cs="Arial"/>
        </w:rPr>
      </w:pPr>
      <w:r w:rsidRPr="001F4E31">
        <w:rPr>
          <w:rFonts w:ascii="Arial" w:hAnsi="Arial" w:cs="Arial"/>
        </w:rPr>
        <w:t xml:space="preserve">Frenk, J. </w:t>
      </w:r>
      <w:r w:rsidRPr="001F4E31">
        <w:rPr>
          <w:rFonts w:ascii="Arial" w:hAnsi="Arial" w:cs="Arial"/>
          <w:i/>
        </w:rPr>
        <w:t>et al.</w:t>
      </w:r>
      <w:r w:rsidRPr="001F4E31">
        <w:rPr>
          <w:rFonts w:ascii="Arial" w:hAnsi="Arial" w:cs="Arial"/>
        </w:rPr>
        <w:t xml:space="preserve"> (1991). La transición epidemiológica en América Latina. </w:t>
      </w:r>
      <w:r w:rsidRPr="001F4E31">
        <w:rPr>
          <w:rFonts w:ascii="Arial" w:hAnsi="Arial" w:cs="Arial"/>
          <w:i/>
        </w:rPr>
        <w:t>Boletín de la Oficina Sanitaria Panamericana</w:t>
      </w:r>
      <w:r w:rsidRPr="001F4E31">
        <w:rPr>
          <w:rFonts w:ascii="Arial" w:hAnsi="Arial" w:cs="Arial"/>
        </w:rPr>
        <w:t xml:space="preserve">, </w:t>
      </w:r>
      <w:r w:rsidRPr="001F4E31">
        <w:rPr>
          <w:rFonts w:ascii="Arial" w:hAnsi="Arial" w:cs="Arial"/>
          <w:i/>
        </w:rPr>
        <w:t>111</w:t>
      </w:r>
      <w:r w:rsidRPr="001F4E31">
        <w:rPr>
          <w:rFonts w:ascii="Arial" w:hAnsi="Arial" w:cs="Arial"/>
        </w:rPr>
        <w:t>(6), 485-496.</w:t>
      </w:r>
    </w:p>
    <w:p w14:paraId="75EA99C6" w14:textId="77777777" w:rsidR="00010DAC" w:rsidRDefault="00010DAC" w:rsidP="00010DAC">
      <w:pPr>
        <w:pStyle w:val="Sinespaciado"/>
        <w:jc w:val="both"/>
        <w:rPr>
          <w:rFonts w:ascii="Arial" w:hAnsi="Arial" w:cs="Arial"/>
        </w:rPr>
      </w:pPr>
    </w:p>
    <w:p w14:paraId="441A48A0" w14:textId="77777777" w:rsidR="00010DAC" w:rsidRDefault="00010DAC" w:rsidP="00010DAC">
      <w:pPr>
        <w:pStyle w:val="Sinespaciado"/>
        <w:jc w:val="both"/>
        <w:rPr>
          <w:rFonts w:ascii="Arial" w:hAnsi="Arial" w:cs="Arial"/>
        </w:rPr>
      </w:pPr>
      <w:r>
        <w:rPr>
          <w:rFonts w:ascii="Arial" w:hAnsi="Arial" w:cs="Arial"/>
        </w:rPr>
        <w:t xml:space="preserve">García, L. y M. López (1995). Causas de muerte evitables y su contribución al incremento en la esperanza de vida. Una interpretación sociodemográfica. El caso de frontera norte, 1980-1990. </w:t>
      </w:r>
      <w:r w:rsidRPr="00EB0188">
        <w:rPr>
          <w:rFonts w:ascii="Arial" w:hAnsi="Arial" w:cs="Arial"/>
          <w:i/>
        </w:rPr>
        <w:t>Estudios Demográficos y Urbanos</w:t>
      </w:r>
      <w:r>
        <w:rPr>
          <w:rFonts w:ascii="Arial" w:hAnsi="Arial" w:cs="Arial"/>
          <w:i/>
        </w:rPr>
        <w:t xml:space="preserve">. </w:t>
      </w:r>
      <w:r>
        <w:rPr>
          <w:rFonts w:ascii="Arial" w:hAnsi="Arial" w:cs="Arial"/>
        </w:rPr>
        <w:t xml:space="preserve">(pp. 133-165). México: Escuela de Salud Pública de México. </w:t>
      </w:r>
    </w:p>
    <w:p w14:paraId="3F60FA2B" w14:textId="77777777" w:rsidR="00010DAC" w:rsidRPr="001F4E31" w:rsidRDefault="00010DAC" w:rsidP="00010DAC">
      <w:pPr>
        <w:pStyle w:val="Sinespaciado"/>
        <w:jc w:val="both"/>
        <w:rPr>
          <w:rFonts w:ascii="Arial" w:hAnsi="Arial" w:cs="Arial"/>
        </w:rPr>
      </w:pPr>
    </w:p>
    <w:p w14:paraId="066A0783" w14:textId="77777777" w:rsidR="00010DAC" w:rsidRDefault="00010DAC" w:rsidP="00010DAC">
      <w:pPr>
        <w:pStyle w:val="Sinespaciado"/>
        <w:jc w:val="both"/>
        <w:rPr>
          <w:rFonts w:ascii="Arial" w:hAnsi="Arial" w:cs="Arial"/>
        </w:rPr>
      </w:pPr>
      <w:r>
        <w:rPr>
          <w:rFonts w:ascii="Arial" w:hAnsi="Arial" w:cs="Arial"/>
        </w:rPr>
        <w:t xml:space="preserve">Gónzalez, L. </w:t>
      </w:r>
      <w:r w:rsidRPr="00D06ABC">
        <w:rPr>
          <w:rFonts w:ascii="Arial" w:hAnsi="Arial" w:cs="Arial"/>
          <w:i/>
        </w:rPr>
        <w:t>et al</w:t>
      </w:r>
      <w:r>
        <w:rPr>
          <w:rFonts w:ascii="Arial" w:hAnsi="Arial" w:cs="Arial"/>
        </w:rPr>
        <w:t xml:space="preserve">. (2015). Estado actual de los neonatólogos certificados en México. </w:t>
      </w:r>
      <w:r w:rsidRPr="00D06ABC">
        <w:rPr>
          <w:rFonts w:ascii="Arial" w:hAnsi="Arial" w:cs="Arial"/>
          <w:i/>
        </w:rPr>
        <w:t>Perinatología y reproducción humana, 29</w:t>
      </w:r>
      <w:r>
        <w:rPr>
          <w:rFonts w:ascii="Arial" w:hAnsi="Arial" w:cs="Arial"/>
        </w:rPr>
        <w:t xml:space="preserve">(4), 143-147. </w:t>
      </w:r>
    </w:p>
    <w:p w14:paraId="2CAECF6F" w14:textId="77777777" w:rsidR="00010DAC" w:rsidRDefault="00010DAC" w:rsidP="00010DAC">
      <w:pPr>
        <w:pStyle w:val="Sinespaciado"/>
        <w:jc w:val="both"/>
        <w:rPr>
          <w:rFonts w:ascii="Arial" w:hAnsi="Arial" w:cs="Arial"/>
        </w:rPr>
      </w:pPr>
    </w:p>
    <w:p w14:paraId="49589A8F" w14:textId="77777777" w:rsidR="00010DAC" w:rsidRDefault="00010DAC" w:rsidP="00010DAC">
      <w:pPr>
        <w:pStyle w:val="Sinespaciado"/>
        <w:jc w:val="both"/>
        <w:rPr>
          <w:rFonts w:ascii="Arial" w:hAnsi="Arial" w:cs="Arial"/>
        </w:rPr>
      </w:pPr>
      <w:r w:rsidRPr="001F4E31">
        <w:rPr>
          <w:rFonts w:ascii="Arial" w:hAnsi="Arial" w:cs="Arial"/>
        </w:rPr>
        <w:t>Graue, E. (2015). Posicionamiento de la Academia Nacional de Medicina. En Fajardo, G., Santacruz, J. y C. Lavalle (Coords.),</w:t>
      </w:r>
      <w:r w:rsidRPr="001F4E31">
        <w:rPr>
          <w:rFonts w:ascii="Arial" w:hAnsi="Arial" w:cs="Arial"/>
          <w:i/>
        </w:rPr>
        <w:t xml:space="preserve"> La formación de médicos especialistas en México. Documento de postura</w:t>
      </w:r>
      <w:r w:rsidRPr="001F4E31">
        <w:rPr>
          <w:rFonts w:ascii="Arial" w:hAnsi="Arial" w:cs="Arial"/>
        </w:rPr>
        <w:t xml:space="preserve"> (pp. 235-243). México: Academia Nacional de Medicina de México y Consejo Nacional de Ciencia y Tecnología.</w:t>
      </w:r>
    </w:p>
    <w:p w14:paraId="672E337E" w14:textId="77777777" w:rsidR="00010DAC" w:rsidRDefault="00010DAC" w:rsidP="00010DAC">
      <w:pPr>
        <w:pStyle w:val="Sinespaciado"/>
        <w:jc w:val="both"/>
        <w:rPr>
          <w:rFonts w:ascii="Arial" w:hAnsi="Arial" w:cs="Arial"/>
        </w:rPr>
      </w:pPr>
    </w:p>
    <w:p w14:paraId="727A56EA" w14:textId="77777777" w:rsidR="00010DAC" w:rsidRDefault="00010DAC" w:rsidP="00010DAC">
      <w:pPr>
        <w:pStyle w:val="Sinespaciado"/>
        <w:jc w:val="both"/>
        <w:rPr>
          <w:rFonts w:ascii="Arial" w:hAnsi="Arial" w:cs="Arial"/>
        </w:rPr>
      </w:pPr>
      <w:r>
        <w:rPr>
          <w:rFonts w:ascii="Arial" w:hAnsi="Arial" w:cs="Arial"/>
        </w:rPr>
        <w:t xml:space="preserve">Guevara, J. (2017). Retos y avances de la neonatología en México. [En línea]. </w:t>
      </w:r>
      <w:hyperlink r:id="rId28" w:history="1">
        <w:r w:rsidRPr="00380AA5">
          <w:rPr>
            <w:rFonts w:ascii="Arial" w:hAnsi="Arial" w:cs="Arial"/>
          </w:rPr>
          <w:t>http://www.cienciamx.com/index.php/ciencia/salud/13201-retos-y-avances-neonatologia-mexico</w:t>
        </w:r>
      </w:hyperlink>
      <w:r w:rsidRPr="00380AA5">
        <w:rPr>
          <w:rFonts w:ascii="Arial" w:hAnsi="Arial" w:cs="Arial"/>
        </w:rPr>
        <w:t xml:space="preserve"> [Consulta el 12 de febrero de 2019]. </w:t>
      </w:r>
    </w:p>
    <w:p w14:paraId="5A654FA9" w14:textId="77777777" w:rsidR="00010DAC" w:rsidRPr="001F4E31" w:rsidRDefault="00010DAC" w:rsidP="00010DAC">
      <w:pPr>
        <w:pStyle w:val="Sinespaciado"/>
        <w:jc w:val="both"/>
        <w:rPr>
          <w:rFonts w:ascii="Arial" w:hAnsi="Arial" w:cs="Arial"/>
        </w:rPr>
      </w:pPr>
    </w:p>
    <w:p w14:paraId="7BADDB96" w14:textId="77777777" w:rsidR="00010DAC" w:rsidRDefault="00010DAC" w:rsidP="00010DAC">
      <w:pPr>
        <w:pStyle w:val="Sinespaciado"/>
        <w:jc w:val="both"/>
        <w:rPr>
          <w:rFonts w:ascii="Arial" w:hAnsi="Arial" w:cs="Arial"/>
        </w:rPr>
      </w:pPr>
      <w:r w:rsidRPr="001F4E31">
        <w:rPr>
          <w:rFonts w:ascii="Arial" w:hAnsi="Arial" w:cs="Arial"/>
        </w:rPr>
        <w:lastRenderedPageBreak/>
        <w:t xml:space="preserve">Gutiérrez, C. </w:t>
      </w:r>
      <w:r w:rsidRPr="001F4E31">
        <w:rPr>
          <w:rFonts w:ascii="Arial" w:hAnsi="Arial" w:cs="Arial"/>
          <w:i/>
        </w:rPr>
        <w:t>et al.</w:t>
      </w:r>
      <w:r w:rsidRPr="001F4E31">
        <w:rPr>
          <w:rFonts w:ascii="Arial" w:hAnsi="Arial" w:cs="Arial"/>
        </w:rPr>
        <w:t xml:space="preserve"> (2017). Factores relacionados con la elección de una especialidad en medicina. </w:t>
      </w:r>
      <w:r w:rsidRPr="001F4E31">
        <w:rPr>
          <w:rFonts w:ascii="Arial" w:hAnsi="Arial" w:cs="Arial"/>
          <w:i/>
        </w:rPr>
        <w:t>Investigación en Educación Médica</w:t>
      </w:r>
      <w:r w:rsidRPr="001F4E31">
        <w:rPr>
          <w:rFonts w:ascii="Arial" w:hAnsi="Arial" w:cs="Arial"/>
        </w:rPr>
        <w:t xml:space="preserve">, </w:t>
      </w:r>
      <w:r w:rsidRPr="001F4E31">
        <w:rPr>
          <w:rFonts w:ascii="Arial" w:hAnsi="Arial" w:cs="Arial"/>
          <w:i/>
        </w:rPr>
        <w:t>6</w:t>
      </w:r>
      <w:r w:rsidRPr="001F4E31">
        <w:rPr>
          <w:rFonts w:ascii="Arial" w:hAnsi="Arial" w:cs="Arial"/>
        </w:rPr>
        <w:t>(23), 206-214.</w:t>
      </w:r>
    </w:p>
    <w:p w14:paraId="57CDF77C" w14:textId="77777777" w:rsidR="00010DAC" w:rsidRPr="001F4E31" w:rsidRDefault="00010DAC" w:rsidP="00010DAC">
      <w:pPr>
        <w:pStyle w:val="Sinespaciado"/>
        <w:jc w:val="both"/>
        <w:rPr>
          <w:rFonts w:ascii="Arial" w:hAnsi="Arial" w:cs="Arial"/>
        </w:rPr>
      </w:pPr>
    </w:p>
    <w:p w14:paraId="139C42C4" w14:textId="77777777" w:rsidR="00010DAC" w:rsidRDefault="00010DAC" w:rsidP="00010DAC">
      <w:pPr>
        <w:pStyle w:val="Sinespaciado"/>
        <w:jc w:val="both"/>
        <w:rPr>
          <w:rFonts w:ascii="Arial" w:hAnsi="Arial" w:cs="Arial"/>
        </w:rPr>
      </w:pPr>
      <w:r w:rsidRPr="001F4E31">
        <w:rPr>
          <w:rFonts w:ascii="Arial" w:hAnsi="Arial" w:cs="Arial"/>
        </w:rPr>
        <w:t xml:space="preserve">Heinze, G. </w:t>
      </w:r>
      <w:r w:rsidRPr="001F4E31">
        <w:rPr>
          <w:rFonts w:ascii="Arial" w:hAnsi="Arial" w:cs="Arial"/>
          <w:i/>
        </w:rPr>
        <w:t>et al.</w:t>
      </w:r>
      <w:r w:rsidRPr="001F4E31">
        <w:rPr>
          <w:rFonts w:ascii="Arial" w:hAnsi="Arial" w:cs="Arial"/>
        </w:rPr>
        <w:t xml:space="preserve"> (2018). Los médicos especialistas en México. </w:t>
      </w:r>
      <w:r w:rsidRPr="001F4E31">
        <w:rPr>
          <w:rFonts w:ascii="Arial" w:hAnsi="Arial" w:cs="Arial"/>
          <w:i/>
        </w:rPr>
        <w:t>Gaceta Médica de México</w:t>
      </w:r>
      <w:r w:rsidRPr="001F4E31">
        <w:rPr>
          <w:rFonts w:ascii="Arial" w:hAnsi="Arial" w:cs="Arial"/>
        </w:rPr>
        <w:t>, 154, 342-351.</w:t>
      </w:r>
    </w:p>
    <w:p w14:paraId="6CBA1033" w14:textId="77777777" w:rsidR="00010DAC" w:rsidRPr="001F4E31" w:rsidRDefault="00010DAC" w:rsidP="00010DAC">
      <w:pPr>
        <w:pStyle w:val="Sinespaciado"/>
        <w:jc w:val="both"/>
        <w:rPr>
          <w:rFonts w:ascii="Arial" w:hAnsi="Arial" w:cs="Arial"/>
        </w:rPr>
      </w:pPr>
    </w:p>
    <w:p w14:paraId="390C5ACE" w14:textId="77777777" w:rsidR="00010DAC" w:rsidRDefault="00010DAC" w:rsidP="00010DAC">
      <w:pPr>
        <w:pStyle w:val="Sinespaciado"/>
        <w:jc w:val="both"/>
        <w:rPr>
          <w:rFonts w:ascii="Arial" w:hAnsi="Arial" w:cs="Arial"/>
        </w:rPr>
      </w:pPr>
      <w:r w:rsidRPr="001F4E31">
        <w:rPr>
          <w:rFonts w:ascii="Arial" w:hAnsi="Arial" w:cs="Arial"/>
        </w:rPr>
        <w:t xml:space="preserve">Hernández, E. </w:t>
      </w:r>
      <w:r w:rsidRPr="001F4E31">
        <w:rPr>
          <w:rFonts w:ascii="Arial" w:hAnsi="Arial" w:cs="Arial"/>
          <w:i/>
        </w:rPr>
        <w:t xml:space="preserve"> et al.</w:t>
      </w:r>
      <w:r w:rsidRPr="001F4E31">
        <w:rPr>
          <w:rFonts w:ascii="Arial" w:hAnsi="Arial" w:cs="Arial"/>
        </w:rPr>
        <w:t xml:space="preserve"> (2012). Análisis del equilibrio entre oferta y demanda de profesionistas en el período 2001-2009. En Hernández, E. (Coord.), </w:t>
      </w:r>
      <w:r w:rsidRPr="001F4E31">
        <w:rPr>
          <w:rFonts w:ascii="Arial" w:hAnsi="Arial" w:cs="Arial"/>
          <w:i/>
        </w:rPr>
        <w:t>Mercado laboral de profesionistas en México. Diagnóstico (2000-2009) y prospectiva (2010-2020)</w:t>
      </w:r>
      <w:r w:rsidRPr="001F4E31">
        <w:rPr>
          <w:rFonts w:ascii="Arial" w:hAnsi="Arial" w:cs="Arial"/>
        </w:rPr>
        <w:t xml:space="preserve"> (pp. 251-267). México: Asociación Nacional de Universidades e Instituciones de Educación Superior. </w:t>
      </w:r>
    </w:p>
    <w:p w14:paraId="2A04686E" w14:textId="77777777" w:rsidR="00010DAC" w:rsidRPr="001F4E31" w:rsidRDefault="00010DAC" w:rsidP="00010DAC">
      <w:pPr>
        <w:pStyle w:val="Sinespaciado"/>
        <w:jc w:val="both"/>
        <w:rPr>
          <w:rFonts w:ascii="Arial" w:hAnsi="Arial" w:cs="Arial"/>
        </w:rPr>
      </w:pPr>
    </w:p>
    <w:p w14:paraId="06270467" w14:textId="77777777" w:rsidR="00010DAC" w:rsidRPr="001F4E31" w:rsidRDefault="00010DAC" w:rsidP="00010DAC">
      <w:pPr>
        <w:pStyle w:val="Sinespaciado"/>
        <w:jc w:val="both"/>
        <w:rPr>
          <w:rFonts w:ascii="Arial" w:hAnsi="Arial" w:cs="Arial"/>
        </w:rPr>
      </w:pPr>
      <w:r w:rsidRPr="001F4E31">
        <w:rPr>
          <w:rFonts w:ascii="Arial" w:hAnsi="Arial" w:cs="Arial"/>
        </w:rPr>
        <w:t xml:space="preserve">INEGI (2016). </w:t>
      </w:r>
      <w:r w:rsidRPr="001F4E31">
        <w:rPr>
          <w:rFonts w:ascii="Arial" w:hAnsi="Arial" w:cs="Arial"/>
          <w:i/>
        </w:rPr>
        <w:t>Encuesta Intercensal 2015</w:t>
      </w:r>
      <w:r w:rsidRPr="001F4E31">
        <w:rPr>
          <w:rFonts w:ascii="Arial" w:hAnsi="Arial" w:cs="Arial"/>
        </w:rPr>
        <w:t xml:space="preserve">. INEGI. México. [En línea]. https://www.inegi.org.mx/programas/intercensal/2015/ [Consulta el 02 de febrero de 2019].  </w:t>
      </w:r>
    </w:p>
    <w:p w14:paraId="21E09EFD" w14:textId="77777777" w:rsidR="00010DAC" w:rsidRDefault="00010DAC" w:rsidP="00010DAC">
      <w:pPr>
        <w:pStyle w:val="Sinespaciado"/>
        <w:jc w:val="both"/>
        <w:rPr>
          <w:rFonts w:ascii="Arial" w:hAnsi="Arial" w:cs="Arial"/>
        </w:rPr>
      </w:pPr>
      <w:r w:rsidRPr="001F4E31">
        <w:rPr>
          <w:rFonts w:ascii="Arial" w:hAnsi="Arial" w:cs="Arial"/>
        </w:rPr>
        <w:t xml:space="preserve">INEGI (2018). </w:t>
      </w:r>
      <w:r w:rsidRPr="001F4E31">
        <w:rPr>
          <w:rFonts w:ascii="Arial" w:hAnsi="Arial" w:cs="Arial"/>
          <w:i/>
        </w:rPr>
        <w:t>Salud en establecimientos particulares 2017</w:t>
      </w:r>
      <w:r w:rsidRPr="001F4E31">
        <w:rPr>
          <w:rFonts w:ascii="Arial" w:hAnsi="Arial" w:cs="Arial"/>
        </w:rPr>
        <w:t xml:space="preserve">. INEGI. México.  [En línea]. https://www.inegi.org.mx/programas/salud/default.html#Datos_abiertos [Consulta el 8 de marzo de 2019]. </w:t>
      </w:r>
    </w:p>
    <w:p w14:paraId="414012E5" w14:textId="77777777" w:rsidR="00010DAC" w:rsidRPr="001F4E31" w:rsidRDefault="00010DAC" w:rsidP="00010DAC">
      <w:pPr>
        <w:pStyle w:val="Sinespaciado"/>
        <w:jc w:val="both"/>
        <w:rPr>
          <w:rFonts w:ascii="Arial" w:hAnsi="Arial" w:cs="Arial"/>
        </w:rPr>
      </w:pPr>
    </w:p>
    <w:p w14:paraId="5221C3DE" w14:textId="77777777" w:rsidR="00010DAC" w:rsidRDefault="00010DAC" w:rsidP="00010DAC">
      <w:pPr>
        <w:pStyle w:val="Sinespaciado"/>
        <w:jc w:val="both"/>
        <w:rPr>
          <w:rFonts w:ascii="Arial" w:hAnsi="Arial" w:cs="Arial"/>
        </w:rPr>
      </w:pPr>
      <w:r w:rsidRPr="001F4E31">
        <w:rPr>
          <w:rFonts w:ascii="Arial" w:hAnsi="Arial" w:cs="Arial"/>
        </w:rPr>
        <w:t xml:space="preserve">INEGI (2019). </w:t>
      </w:r>
      <w:r w:rsidRPr="001F4E31">
        <w:rPr>
          <w:rFonts w:ascii="Arial" w:hAnsi="Arial" w:cs="Arial"/>
          <w:i/>
        </w:rPr>
        <w:t>Defunciones generales en México 2017</w:t>
      </w:r>
      <w:r w:rsidRPr="001F4E31">
        <w:rPr>
          <w:rFonts w:ascii="Arial" w:hAnsi="Arial" w:cs="Arial"/>
        </w:rPr>
        <w:t>. INEGI. México. [En línea]. https://www.inegi.org.mx/programas/mortalidad/ [Consulta el 05 de febrero de 2019].</w:t>
      </w:r>
    </w:p>
    <w:p w14:paraId="7463EBF8" w14:textId="77777777" w:rsidR="00010DAC" w:rsidRPr="001F4E31" w:rsidRDefault="00010DAC" w:rsidP="00010DAC">
      <w:pPr>
        <w:pStyle w:val="Sinespaciado"/>
        <w:jc w:val="both"/>
        <w:rPr>
          <w:rFonts w:ascii="Arial" w:hAnsi="Arial" w:cs="Arial"/>
        </w:rPr>
      </w:pPr>
    </w:p>
    <w:p w14:paraId="38607E82" w14:textId="77777777" w:rsidR="00010DAC" w:rsidRDefault="00010DAC" w:rsidP="00010DAC">
      <w:pPr>
        <w:pStyle w:val="Sinespaciado"/>
        <w:jc w:val="both"/>
        <w:rPr>
          <w:rFonts w:ascii="Arial" w:hAnsi="Arial" w:cs="Arial"/>
        </w:rPr>
      </w:pPr>
      <w:r w:rsidRPr="001F4E31">
        <w:rPr>
          <w:rFonts w:ascii="Arial" w:hAnsi="Arial" w:cs="Arial"/>
        </w:rPr>
        <w:t xml:space="preserve">INEGI (2019a). </w:t>
      </w:r>
      <w:r w:rsidRPr="001F4E31">
        <w:rPr>
          <w:rFonts w:ascii="Arial" w:hAnsi="Arial" w:cs="Arial"/>
          <w:i/>
        </w:rPr>
        <w:t>Encuesta Nacional de Ocupación y Empleo (ENOE), 4to trimestre de 2018</w:t>
      </w:r>
      <w:r w:rsidRPr="001F4E31">
        <w:rPr>
          <w:rFonts w:ascii="Arial" w:hAnsi="Arial" w:cs="Arial"/>
        </w:rPr>
        <w:t xml:space="preserve">. INEGI. México. [En línea]. </w:t>
      </w:r>
      <w:r w:rsidRPr="00010DAC">
        <w:rPr>
          <w:rFonts w:ascii="Arial" w:hAnsi="Arial" w:cs="Arial"/>
        </w:rPr>
        <w:t>https://www.inegi.org.mx/programas/enoe/15ymas/default.html</w:t>
      </w:r>
      <w:r w:rsidRPr="001F4E31">
        <w:rPr>
          <w:rFonts w:ascii="Arial" w:hAnsi="Arial" w:cs="Arial"/>
        </w:rPr>
        <w:t xml:space="preserve"> [Consulta el 26 de marzo de 2019].</w:t>
      </w:r>
    </w:p>
    <w:p w14:paraId="68E20CFA" w14:textId="77777777" w:rsidR="00010DAC" w:rsidRPr="001F4E31" w:rsidRDefault="00010DAC" w:rsidP="00010DAC">
      <w:pPr>
        <w:pStyle w:val="Sinespaciado"/>
        <w:jc w:val="both"/>
        <w:rPr>
          <w:rFonts w:ascii="Arial" w:hAnsi="Arial" w:cs="Arial"/>
        </w:rPr>
      </w:pPr>
    </w:p>
    <w:p w14:paraId="4318C529" w14:textId="77777777" w:rsidR="00010DAC" w:rsidRDefault="00010DAC" w:rsidP="00010DAC">
      <w:pPr>
        <w:pStyle w:val="Sinespaciado"/>
        <w:jc w:val="both"/>
        <w:rPr>
          <w:rFonts w:ascii="Arial" w:hAnsi="Arial" w:cs="Arial"/>
        </w:rPr>
      </w:pPr>
      <w:r w:rsidRPr="001F4E31">
        <w:rPr>
          <w:rFonts w:ascii="Arial" w:hAnsi="Arial" w:cs="Arial"/>
        </w:rPr>
        <w:t xml:space="preserve">Instituto Nacional de Salud Pública (2017). </w:t>
      </w:r>
      <w:r w:rsidRPr="001F4E31">
        <w:rPr>
          <w:rFonts w:ascii="Arial" w:hAnsi="Arial" w:cs="Arial"/>
          <w:i/>
        </w:rPr>
        <w:t xml:space="preserve">Brechas en la disponibilidad de médicos y enfermeras especialistas en el sistema nacional de salud. </w:t>
      </w:r>
      <w:r w:rsidRPr="001F4E31">
        <w:rPr>
          <w:rFonts w:ascii="Arial" w:hAnsi="Arial" w:cs="Arial"/>
        </w:rPr>
        <w:t>México. [En línea]. http://www.cifrhs.salud.gob.mx/site1/residencias/brechas_medico_enf_esp.pdf [Consulta el 14 de diciembre de 2018].</w:t>
      </w:r>
    </w:p>
    <w:p w14:paraId="285096C7" w14:textId="77777777" w:rsidR="00010DAC" w:rsidRPr="001F4E31" w:rsidRDefault="00010DAC" w:rsidP="00010DAC">
      <w:pPr>
        <w:pStyle w:val="Sinespaciado"/>
        <w:jc w:val="both"/>
        <w:rPr>
          <w:rFonts w:ascii="Arial" w:hAnsi="Arial" w:cs="Arial"/>
        </w:rPr>
      </w:pPr>
    </w:p>
    <w:p w14:paraId="36B524D0" w14:textId="77777777" w:rsidR="00010DAC" w:rsidRPr="001F4E31" w:rsidRDefault="00010DAC" w:rsidP="00010DAC">
      <w:pPr>
        <w:pStyle w:val="Sinespaciado"/>
        <w:jc w:val="both"/>
        <w:rPr>
          <w:rFonts w:ascii="Arial" w:hAnsi="Arial" w:cs="Arial"/>
        </w:rPr>
      </w:pPr>
      <w:r w:rsidRPr="001F4E31">
        <w:rPr>
          <w:rFonts w:ascii="Arial" w:hAnsi="Arial" w:cs="Arial"/>
          <w:lang w:val="en-US"/>
        </w:rPr>
        <w:t xml:space="preserve">Knoll, M. (1997). The project method: Its vocational education origin and international development. </w:t>
      </w:r>
      <w:r w:rsidRPr="001F4E31">
        <w:rPr>
          <w:rFonts w:ascii="Arial" w:hAnsi="Arial" w:cs="Arial"/>
          <w:i/>
        </w:rPr>
        <w:t>Journal of Industrial Teacher Education</w:t>
      </w:r>
      <w:r w:rsidRPr="001F4E31">
        <w:rPr>
          <w:rFonts w:ascii="Arial" w:hAnsi="Arial" w:cs="Arial"/>
        </w:rPr>
        <w:t xml:space="preserve">, </w:t>
      </w:r>
      <w:r w:rsidRPr="001F4E31">
        <w:rPr>
          <w:rFonts w:ascii="Arial" w:hAnsi="Arial" w:cs="Arial"/>
          <w:i/>
        </w:rPr>
        <w:t>34</w:t>
      </w:r>
      <w:r w:rsidRPr="001F4E31">
        <w:rPr>
          <w:rFonts w:ascii="Arial" w:hAnsi="Arial" w:cs="Arial"/>
        </w:rPr>
        <w:t>(3), 59-80.</w:t>
      </w:r>
    </w:p>
    <w:p w14:paraId="5E521534" w14:textId="77777777" w:rsidR="00010DAC" w:rsidRPr="001F4E31" w:rsidRDefault="00010DAC" w:rsidP="00010DAC">
      <w:pPr>
        <w:jc w:val="both"/>
        <w:rPr>
          <w:rFonts w:ascii="Arial" w:hAnsi="Arial" w:cs="Arial"/>
        </w:rPr>
      </w:pPr>
      <w:r w:rsidRPr="001F4E31">
        <w:rPr>
          <w:rFonts w:ascii="Arial" w:hAnsi="Arial" w:cs="Arial"/>
        </w:rPr>
        <w:t>Ley General de Educación. Diario Oficial de la Federación, Ciudad de México, México, 19 de enero de 2018.</w:t>
      </w:r>
    </w:p>
    <w:p w14:paraId="0E045D56" w14:textId="77777777" w:rsidR="00010DAC" w:rsidRDefault="00010DAC" w:rsidP="00010DAC">
      <w:pPr>
        <w:pStyle w:val="Sinespaciado"/>
        <w:jc w:val="both"/>
        <w:rPr>
          <w:rFonts w:ascii="Arial" w:hAnsi="Arial" w:cs="Arial"/>
        </w:rPr>
      </w:pPr>
      <w:r w:rsidRPr="001F4E31">
        <w:rPr>
          <w:rFonts w:ascii="Arial" w:hAnsi="Arial" w:cs="Arial"/>
          <w:lang w:val="en-US"/>
        </w:rPr>
        <w:t>Meara, J.</w:t>
      </w:r>
      <w:r w:rsidRPr="001F4E31">
        <w:rPr>
          <w:rFonts w:ascii="Arial" w:hAnsi="Arial" w:cs="Arial"/>
          <w:i/>
          <w:lang w:val="en-US"/>
        </w:rPr>
        <w:t>et al.</w:t>
      </w:r>
      <w:r w:rsidRPr="001F4E31">
        <w:rPr>
          <w:rFonts w:ascii="Arial" w:hAnsi="Arial" w:cs="Arial"/>
          <w:lang w:val="en-US"/>
        </w:rPr>
        <w:t xml:space="preserve"> (2015). Global Surgery 2030: Evidence and solutions for achieving healt, welfare, and economic development. </w:t>
      </w:r>
      <w:r w:rsidRPr="001F4E31">
        <w:rPr>
          <w:rFonts w:ascii="Arial" w:hAnsi="Arial" w:cs="Arial"/>
          <w:i/>
        </w:rPr>
        <w:t>The Lancet</w:t>
      </w:r>
      <w:r w:rsidRPr="001F4E31">
        <w:rPr>
          <w:rFonts w:ascii="Arial" w:hAnsi="Arial" w:cs="Arial"/>
        </w:rPr>
        <w:t xml:space="preserve">, </w:t>
      </w:r>
      <w:r w:rsidRPr="001F4E31">
        <w:rPr>
          <w:rFonts w:ascii="Arial" w:hAnsi="Arial" w:cs="Arial"/>
          <w:i/>
        </w:rPr>
        <w:t>386</w:t>
      </w:r>
      <w:r w:rsidRPr="001F4E31">
        <w:rPr>
          <w:rFonts w:ascii="Arial" w:hAnsi="Arial" w:cs="Arial"/>
        </w:rPr>
        <w:t>(9993), 569-624.</w:t>
      </w:r>
    </w:p>
    <w:p w14:paraId="587D5FDE" w14:textId="77777777" w:rsidR="00010DAC" w:rsidRPr="001F4E31" w:rsidRDefault="00010DAC" w:rsidP="00010DAC">
      <w:pPr>
        <w:pStyle w:val="Sinespaciado"/>
        <w:jc w:val="both"/>
        <w:rPr>
          <w:rFonts w:ascii="Arial" w:hAnsi="Arial" w:cs="Arial"/>
        </w:rPr>
      </w:pPr>
    </w:p>
    <w:p w14:paraId="5CD3A741" w14:textId="77777777" w:rsidR="00010DAC" w:rsidRDefault="00010DAC" w:rsidP="00010DAC">
      <w:pPr>
        <w:pStyle w:val="Sinespaciado"/>
        <w:jc w:val="both"/>
        <w:rPr>
          <w:rFonts w:ascii="Arial" w:hAnsi="Arial" w:cs="Arial"/>
        </w:rPr>
      </w:pPr>
      <w:r w:rsidRPr="001F4E31">
        <w:rPr>
          <w:rFonts w:ascii="Arial" w:hAnsi="Arial" w:cs="Arial"/>
        </w:rPr>
        <w:t xml:space="preserve">Mina, A. (2010). Evolución de la mortalidad: Pasado, presente y futuro. En B. García y M. Ordorica (Coords.), </w:t>
      </w:r>
      <w:r w:rsidRPr="001F4E31">
        <w:rPr>
          <w:rFonts w:ascii="Arial" w:hAnsi="Arial" w:cs="Arial"/>
          <w:i/>
        </w:rPr>
        <w:t>Los grandes problemas de México: Población (</w:t>
      </w:r>
      <w:r w:rsidRPr="001F4E31">
        <w:rPr>
          <w:rFonts w:ascii="Arial" w:hAnsi="Arial" w:cs="Arial"/>
        </w:rPr>
        <w:t>pp.79-104)</w:t>
      </w:r>
      <w:r w:rsidRPr="001F4E31">
        <w:rPr>
          <w:rFonts w:ascii="Arial" w:hAnsi="Arial" w:cs="Arial"/>
          <w:i/>
        </w:rPr>
        <w:t>.</w:t>
      </w:r>
      <w:r w:rsidRPr="001F4E31">
        <w:rPr>
          <w:rFonts w:ascii="Arial" w:hAnsi="Arial" w:cs="Arial"/>
        </w:rPr>
        <w:t xml:space="preserve"> México: El Colegio de México.</w:t>
      </w:r>
    </w:p>
    <w:p w14:paraId="3EC46020" w14:textId="77777777" w:rsidR="00010DAC" w:rsidRPr="001F4E31" w:rsidRDefault="00010DAC" w:rsidP="00010DAC">
      <w:pPr>
        <w:pStyle w:val="Sinespaciado"/>
        <w:jc w:val="both"/>
        <w:rPr>
          <w:rFonts w:ascii="Arial" w:hAnsi="Arial" w:cs="Arial"/>
        </w:rPr>
      </w:pPr>
    </w:p>
    <w:p w14:paraId="0EA87A9A" w14:textId="77777777" w:rsidR="00010DAC" w:rsidRDefault="00010DAC" w:rsidP="00010DAC">
      <w:pPr>
        <w:pStyle w:val="Sinespaciado"/>
        <w:jc w:val="both"/>
        <w:rPr>
          <w:rFonts w:ascii="Arial" w:hAnsi="Arial" w:cs="Arial"/>
        </w:rPr>
      </w:pPr>
      <w:r w:rsidRPr="001F4E31">
        <w:rPr>
          <w:rFonts w:ascii="Arial" w:hAnsi="Arial" w:cs="Arial"/>
        </w:rPr>
        <w:t xml:space="preserve">Negrete, M. (2003). El envejecimiento poblacional en la Ciudad de México: Evolución y pautas de distribución espacial entre 1970 y 2000. </w:t>
      </w:r>
      <w:r w:rsidRPr="001F4E31">
        <w:rPr>
          <w:rFonts w:ascii="Arial" w:hAnsi="Arial" w:cs="Arial"/>
          <w:i/>
        </w:rPr>
        <w:t>Papeles de Población</w:t>
      </w:r>
      <w:r w:rsidRPr="001F4E31">
        <w:rPr>
          <w:rFonts w:ascii="Arial" w:hAnsi="Arial" w:cs="Arial"/>
        </w:rPr>
        <w:t xml:space="preserve">, </w:t>
      </w:r>
      <w:r w:rsidRPr="001F4E31">
        <w:rPr>
          <w:rFonts w:ascii="Arial" w:hAnsi="Arial" w:cs="Arial"/>
          <w:i/>
        </w:rPr>
        <w:t>9</w:t>
      </w:r>
      <w:r w:rsidRPr="001F4E31">
        <w:rPr>
          <w:rFonts w:ascii="Arial" w:hAnsi="Arial" w:cs="Arial"/>
        </w:rPr>
        <w:t>(37), 107-127.</w:t>
      </w:r>
    </w:p>
    <w:p w14:paraId="70742AA7" w14:textId="77777777" w:rsidR="00010DAC" w:rsidRPr="001F4E31" w:rsidRDefault="00010DAC" w:rsidP="00010DAC">
      <w:pPr>
        <w:pStyle w:val="Sinespaciado"/>
        <w:jc w:val="both"/>
        <w:rPr>
          <w:rFonts w:ascii="Arial" w:hAnsi="Arial" w:cs="Arial"/>
        </w:rPr>
      </w:pPr>
    </w:p>
    <w:p w14:paraId="3395382A" w14:textId="77777777" w:rsidR="00010DAC" w:rsidRPr="001F4E31" w:rsidRDefault="00010DAC" w:rsidP="00010DAC">
      <w:pPr>
        <w:pStyle w:val="Sinespaciado"/>
        <w:jc w:val="both"/>
        <w:rPr>
          <w:rFonts w:ascii="Arial" w:hAnsi="Arial" w:cs="Arial"/>
        </w:rPr>
      </w:pPr>
      <w:r w:rsidRPr="001F4E31">
        <w:rPr>
          <w:rFonts w:ascii="Arial" w:hAnsi="Arial" w:cs="Arial"/>
        </w:rPr>
        <w:t xml:space="preserve">Nigenda, G. </w:t>
      </w:r>
      <w:r w:rsidRPr="001F4E31">
        <w:rPr>
          <w:rFonts w:ascii="Arial" w:hAnsi="Arial" w:cs="Arial"/>
          <w:i/>
        </w:rPr>
        <w:t>et al</w:t>
      </w:r>
      <w:r w:rsidRPr="001F4E31">
        <w:rPr>
          <w:rFonts w:ascii="Arial" w:hAnsi="Arial" w:cs="Arial"/>
        </w:rPr>
        <w:t xml:space="preserve">. (2016). Eficiencia de los recursos humanos en salud: Una aproximación a su análisis en México. </w:t>
      </w:r>
      <w:r w:rsidRPr="001F4E31">
        <w:rPr>
          <w:rFonts w:ascii="Arial" w:hAnsi="Arial" w:cs="Arial"/>
          <w:i/>
        </w:rPr>
        <w:t>Salud Pública de México</w:t>
      </w:r>
      <w:r w:rsidRPr="001F4E31">
        <w:rPr>
          <w:rFonts w:ascii="Arial" w:hAnsi="Arial" w:cs="Arial"/>
        </w:rPr>
        <w:t xml:space="preserve">, </w:t>
      </w:r>
      <w:r w:rsidRPr="001F4E31">
        <w:rPr>
          <w:rFonts w:ascii="Arial" w:hAnsi="Arial" w:cs="Arial"/>
          <w:i/>
        </w:rPr>
        <w:t>58</w:t>
      </w:r>
      <w:r w:rsidRPr="001F4E31">
        <w:rPr>
          <w:rFonts w:ascii="Arial" w:hAnsi="Arial" w:cs="Arial"/>
        </w:rPr>
        <w:t>(5), 533-542.</w:t>
      </w:r>
    </w:p>
    <w:p w14:paraId="7E986185" w14:textId="77777777" w:rsidR="00010DAC" w:rsidRDefault="00010DAC" w:rsidP="00010DAC">
      <w:pPr>
        <w:pStyle w:val="Sinespaciado"/>
        <w:jc w:val="both"/>
        <w:rPr>
          <w:rFonts w:ascii="Arial" w:hAnsi="Arial" w:cs="Arial"/>
        </w:rPr>
      </w:pPr>
      <w:r w:rsidRPr="001F4E31">
        <w:rPr>
          <w:rFonts w:ascii="Arial" w:hAnsi="Arial" w:cs="Arial"/>
        </w:rPr>
        <w:t>Norma Oficial Mexicana NOM-001-SSA3-2012, Educación en salud. Para la organización y funcionamiento de residencias médicas.</w:t>
      </w:r>
      <w:r w:rsidRPr="001F4E31">
        <w:rPr>
          <w:rFonts w:ascii="Arial" w:hAnsi="Arial" w:cs="Arial"/>
          <w:b/>
        </w:rPr>
        <w:t xml:space="preserve"> </w:t>
      </w:r>
      <w:r w:rsidRPr="001F4E31">
        <w:rPr>
          <w:rFonts w:ascii="Arial" w:hAnsi="Arial" w:cs="Arial"/>
        </w:rPr>
        <w:t>Diario Oficial de la Federación, Ciudad de México, México, 04 de enero de 2013.</w:t>
      </w:r>
    </w:p>
    <w:p w14:paraId="29E07545" w14:textId="77777777" w:rsidR="00DA284C" w:rsidRDefault="00DA284C" w:rsidP="00010DAC">
      <w:pPr>
        <w:pStyle w:val="Sinespaciado"/>
        <w:jc w:val="both"/>
        <w:rPr>
          <w:rFonts w:ascii="Arial" w:hAnsi="Arial" w:cs="Arial"/>
        </w:rPr>
      </w:pPr>
    </w:p>
    <w:p w14:paraId="1D5902E4" w14:textId="29407BF7" w:rsidR="00010DAC" w:rsidRDefault="00010DAC" w:rsidP="00010DAC">
      <w:pPr>
        <w:pStyle w:val="Sinespaciado"/>
        <w:jc w:val="both"/>
        <w:rPr>
          <w:rFonts w:ascii="Arial" w:hAnsi="Arial" w:cs="Arial"/>
        </w:rPr>
      </w:pPr>
      <w:r w:rsidRPr="001F4E31">
        <w:rPr>
          <w:rFonts w:ascii="Arial" w:hAnsi="Arial" w:cs="Arial"/>
        </w:rPr>
        <w:lastRenderedPageBreak/>
        <w:t>Norma Oficial Mexicana NOM-004-SSA3-2012, Del expediente clínico. Diario Oficial de la Federación, Ciudad de México, México, 29 de junio de 2012.</w:t>
      </w:r>
    </w:p>
    <w:p w14:paraId="7AD0AA35" w14:textId="77777777" w:rsidR="00010DAC" w:rsidRPr="001F4E31" w:rsidRDefault="00010DAC" w:rsidP="00010DAC">
      <w:pPr>
        <w:pStyle w:val="Sinespaciado"/>
        <w:jc w:val="both"/>
        <w:rPr>
          <w:rFonts w:ascii="Arial" w:hAnsi="Arial" w:cs="Arial"/>
        </w:rPr>
      </w:pPr>
    </w:p>
    <w:p w14:paraId="321EBB1A" w14:textId="77777777" w:rsidR="00010DAC" w:rsidRDefault="00010DAC" w:rsidP="00010DAC">
      <w:pPr>
        <w:pStyle w:val="Sinespaciado"/>
        <w:jc w:val="both"/>
        <w:rPr>
          <w:rFonts w:ascii="Arial" w:hAnsi="Arial" w:cs="Arial"/>
        </w:rPr>
      </w:pPr>
      <w:r w:rsidRPr="001F4E31">
        <w:rPr>
          <w:rFonts w:ascii="Arial" w:hAnsi="Arial" w:cs="Arial"/>
        </w:rPr>
        <w:t>Norma Oficial Mexicana NOM-016-SSA3-2012, Que establece las características mínimas de infraestructura y equipamiento de hospitales y consultorios de atención médica especializada. Diario Oficial de la Federación, Ciudad de México, México, 08 de enero de 2013.</w:t>
      </w:r>
    </w:p>
    <w:p w14:paraId="5FFC940F" w14:textId="77777777" w:rsidR="00010DAC" w:rsidRPr="001F4E31" w:rsidRDefault="00010DAC" w:rsidP="00010DAC">
      <w:pPr>
        <w:pStyle w:val="Sinespaciado"/>
        <w:jc w:val="both"/>
        <w:rPr>
          <w:rFonts w:ascii="Arial" w:hAnsi="Arial" w:cs="Arial"/>
        </w:rPr>
      </w:pPr>
    </w:p>
    <w:p w14:paraId="77C8E574" w14:textId="77777777" w:rsidR="00010DAC" w:rsidRPr="001F4E31" w:rsidRDefault="00010DAC" w:rsidP="00010DAC">
      <w:pPr>
        <w:pStyle w:val="Sinespaciado"/>
        <w:jc w:val="both"/>
        <w:rPr>
          <w:rFonts w:ascii="Arial" w:hAnsi="Arial" w:cs="Arial"/>
        </w:rPr>
      </w:pPr>
      <w:r w:rsidRPr="001F4E31">
        <w:rPr>
          <w:rFonts w:ascii="Arial" w:hAnsi="Arial" w:cs="Arial"/>
          <w:lang w:val="en-US"/>
        </w:rPr>
        <w:t xml:space="preserve">OCDE (2017). </w:t>
      </w:r>
      <w:r w:rsidRPr="001F4E31">
        <w:rPr>
          <w:rFonts w:ascii="Arial" w:hAnsi="Arial" w:cs="Arial"/>
          <w:i/>
          <w:lang w:val="en-US"/>
        </w:rPr>
        <w:t>Health at a Glance 2017: OECD Indicators</w:t>
      </w:r>
      <w:r w:rsidRPr="001F4E31">
        <w:rPr>
          <w:rFonts w:ascii="Arial" w:hAnsi="Arial" w:cs="Arial"/>
          <w:lang w:val="en-US"/>
        </w:rPr>
        <w:t xml:space="preserve">. </w:t>
      </w:r>
      <w:r w:rsidRPr="001F4E31">
        <w:rPr>
          <w:rFonts w:ascii="Arial" w:hAnsi="Arial" w:cs="Arial"/>
        </w:rPr>
        <w:t xml:space="preserve">Francia: OCDE Publicaciones. </w:t>
      </w:r>
    </w:p>
    <w:p w14:paraId="71178375" w14:textId="77777777" w:rsidR="00010DAC" w:rsidRDefault="00010DAC" w:rsidP="00010DAC">
      <w:pPr>
        <w:pStyle w:val="Sinespaciado"/>
        <w:jc w:val="both"/>
        <w:rPr>
          <w:rFonts w:ascii="Arial" w:hAnsi="Arial" w:cs="Arial"/>
        </w:rPr>
      </w:pPr>
      <w:r w:rsidRPr="001F4E31">
        <w:rPr>
          <w:rFonts w:ascii="Arial" w:hAnsi="Arial" w:cs="Arial"/>
        </w:rPr>
        <w:t xml:space="preserve">Ordorica, M. (2010). Las proyecciones de población hasta mitad del siglo XXI.  En B. García y M. Ordorica (Coords.), </w:t>
      </w:r>
      <w:r w:rsidRPr="001F4E31">
        <w:rPr>
          <w:rFonts w:ascii="Arial" w:hAnsi="Arial" w:cs="Arial"/>
          <w:i/>
        </w:rPr>
        <w:t>Los grandes problemas de México: Población</w:t>
      </w:r>
      <w:r w:rsidRPr="001F4E31">
        <w:rPr>
          <w:rFonts w:ascii="Arial" w:hAnsi="Arial" w:cs="Arial"/>
        </w:rPr>
        <w:t xml:space="preserve"> (pp.29-52). México: El Colegio de México.</w:t>
      </w:r>
    </w:p>
    <w:p w14:paraId="2E1B0422" w14:textId="77777777" w:rsidR="00010DAC" w:rsidRPr="001F4E31" w:rsidRDefault="00010DAC" w:rsidP="00010DAC">
      <w:pPr>
        <w:pStyle w:val="Sinespaciado"/>
        <w:jc w:val="both"/>
        <w:rPr>
          <w:rFonts w:ascii="Arial" w:hAnsi="Arial" w:cs="Arial"/>
        </w:rPr>
      </w:pPr>
    </w:p>
    <w:p w14:paraId="5D7A6417" w14:textId="77777777" w:rsidR="00010DAC" w:rsidRDefault="00010DAC" w:rsidP="00010DAC">
      <w:pPr>
        <w:pStyle w:val="Sinespaciado"/>
        <w:jc w:val="both"/>
        <w:rPr>
          <w:rFonts w:ascii="Arial" w:hAnsi="Arial" w:cs="Arial"/>
        </w:rPr>
      </w:pPr>
      <w:r w:rsidRPr="001F4E31">
        <w:rPr>
          <w:rFonts w:ascii="Arial" w:hAnsi="Arial" w:cs="Arial"/>
        </w:rPr>
        <w:t xml:space="preserve">Ortiz, M. y L. Gerónimo (2008). El envejecimiento en México. Aspectos territoriales y repercusiones sociales. </w:t>
      </w:r>
      <w:r w:rsidRPr="001F4E31">
        <w:rPr>
          <w:rFonts w:ascii="Arial" w:hAnsi="Arial" w:cs="Arial"/>
          <w:i/>
        </w:rPr>
        <w:t>Trayectorias</w:t>
      </w:r>
      <w:r w:rsidRPr="001F4E31">
        <w:rPr>
          <w:rFonts w:ascii="Arial" w:hAnsi="Arial" w:cs="Arial"/>
        </w:rPr>
        <w:t xml:space="preserve">, </w:t>
      </w:r>
      <w:r w:rsidRPr="001F4E31">
        <w:rPr>
          <w:rFonts w:ascii="Arial" w:hAnsi="Arial" w:cs="Arial"/>
          <w:i/>
        </w:rPr>
        <w:t>10</w:t>
      </w:r>
      <w:r w:rsidRPr="001F4E31">
        <w:rPr>
          <w:rFonts w:ascii="Arial" w:hAnsi="Arial" w:cs="Arial"/>
        </w:rPr>
        <w:t>(26), 79-92.</w:t>
      </w:r>
    </w:p>
    <w:p w14:paraId="3B5EBB18" w14:textId="77777777" w:rsidR="00010DAC" w:rsidRDefault="00010DAC" w:rsidP="00010DAC">
      <w:pPr>
        <w:pStyle w:val="Sinespaciado"/>
        <w:jc w:val="both"/>
        <w:rPr>
          <w:rFonts w:ascii="Arial" w:hAnsi="Arial" w:cs="Arial"/>
        </w:rPr>
      </w:pPr>
    </w:p>
    <w:p w14:paraId="3C3C6169" w14:textId="77777777" w:rsidR="00010DAC" w:rsidRPr="00350C6D" w:rsidRDefault="00010DAC" w:rsidP="00010DAC">
      <w:pPr>
        <w:pStyle w:val="Sinespaciado"/>
        <w:jc w:val="both"/>
        <w:rPr>
          <w:rFonts w:ascii="Arial" w:hAnsi="Arial" w:cs="Arial"/>
        </w:rPr>
      </w:pPr>
      <w:r>
        <w:rPr>
          <w:rFonts w:ascii="Arial" w:hAnsi="Arial" w:cs="Arial"/>
        </w:rPr>
        <w:t xml:space="preserve">Pérez, R y O. Muñoz (2014). Importancia de la salud pública a la niñez y la adolescencia en México. </w:t>
      </w:r>
      <w:r w:rsidRPr="00350C6D">
        <w:rPr>
          <w:rFonts w:ascii="Arial" w:hAnsi="Arial" w:cs="Arial"/>
          <w:i/>
        </w:rPr>
        <w:t xml:space="preserve">Boletín médico del Hospital Infantil de México. </w:t>
      </w:r>
      <w:r w:rsidRPr="00350C6D">
        <w:rPr>
          <w:rFonts w:ascii="Arial" w:hAnsi="Arial" w:cs="Arial"/>
        </w:rPr>
        <w:t xml:space="preserve">(pp. 126-133). México: Hospital </w:t>
      </w:r>
      <w:r w:rsidRPr="008902CC">
        <w:rPr>
          <w:rFonts w:ascii="Arial" w:hAnsi="Arial" w:cs="Arial"/>
        </w:rPr>
        <w:t>Infantil.</w:t>
      </w:r>
      <w:r w:rsidRPr="00350C6D">
        <w:rPr>
          <w:rFonts w:ascii="Arial" w:hAnsi="Arial" w:cs="Arial"/>
        </w:rPr>
        <w:t xml:space="preserve">  </w:t>
      </w:r>
    </w:p>
    <w:p w14:paraId="7371BCE0" w14:textId="77777777" w:rsidR="00010DAC" w:rsidRPr="00350C6D" w:rsidRDefault="00010DAC" w:rsidP="00010DAC">
      <w:pPr>
        <w:pStyle w:val="Sinespaciado"/>
        <w:jc w:val="both"/>
        <w:rPr>
          <w:rFonts w:ascii="Arial" w:hAnsi="Arial" w:cs="Arial"/>
        </w:rPr>
      </w:pPr>
    </w:p>
    <w:p w14:paraId="6D67E55E" w14:textId="77777777" w:rsidR="00010DAC" w:rsidRDefault="00010DAC" w:rsidP="00010DAC">
      <w:pPr>
        <w:pStyle w:val="Sinespaciado"/>
        <w:jc w:val="both"/>
        <w:rPr>
          <w:rFonts w:ascii="Arial" w:hAnsi="Arial" w:cs="Arial"/>
        </w:rPr>
      </w:pPr>
      <w:r w:rsidRPr="001F4E31">
        <w:rPr>
          <w:rFonts w:ascii="Arial" w:hAnsi="Arial" w:cs="Arial"/>
          <w:lang w:val="en-US"/>
        </w:rPr>
        <w:t xml:space="preserve">Querido, S. </w:t>
      </w:r>
      <w:r w:rsidRPr="001F4E31">
        <w:rPr>
          <w:rFonts w:ascii="Arial" w:hAnsi="Arial" w:cs="Arial"/>
          <w:i/>
          <w:lang w:val="en-US"/>
        </w:rPr>
        <w:t>et al.</w:t>
      </w:r>
      <w:r w:rsidRPr="001F4E31">
        <w:rPr>
          <w:rFonts w:ascii="Arial" w:hAnsi="Arial" w:cs="Arial"/>
          <w:lang w:val="en-US"/>
        </w:rPr>
        <w:t xml:space="preserve"> (2016). Dynamics of career choice among students in undergraduate medical courses. </w:t>
      </w:r>
      <w:r w:rsidRPr="00350C6D">
        <w:rPr>
          <w:rFonts w:ascii="Arial" w:hAnsi="Arial" w:cs="Arial"/>
        </w:rPr>
        <w:t>A BEME systematic r</w:t>
      </w:r>
      <w:r w:rsidRPr="001F4E31">
        <w:rPr>
          <w:rFonts w:ascii="Arial" w:hAnsi="Arial" w:cs="Arial"/>
        </w:rPr>
        <w:t xml:space="preserve">eview: BEME Guide No. 33. </w:t>
      </w:r>
      <w:r w:rsidRPr="001F4E31">
        <w:rPr>
          <w:rFonts w:ascii="Arial" w:hAnsi="Arial" w:cs="Arial"/>
          <w:i/>
        </w:rPr>
        <w:t>Medical Teacher</w:t>
      </w:r>
      <w:r w:rsidRPr="001F4E31">
        <w:rPr>
          <w:rFonts w:ascii="Arial" w:hAnsi="Arial" w:cs="Arial"/>
        </w:rPr>
        <w:t xml:space="preserve">, </w:t>
      </w:r>
      <w:r w:rsidRPr="001F4E31">
        <w:rPr>
          <w:rFonts w:ascii="Arial" w:hAnsi="Arial" w:cs="Arial"/>
          <w:i/>
        </w:rPr>
        <w:t>38</w:t>
      </w:r>
      <w:r w:rsidRPr="001F4E31">
        <w:rPr>
          <w:rFonts w:ascii="Arial" w:hAnsi="Arial" w:cs="Arial"/>
        </w:rPr>
        <w:t>(1), 18-29.</w:t>
      </w:r>
    </w:p>
    <w:p w14:paraId="45D73B10" w14:textId="77777777" w:rsidR="00010DAC" w:rsidRPr="001F4E31" w:rsidRDefault="00010DAC" w:rsidP="00010DAC">
      <w:pPr>
        <w:pStyle w:val="Sinespaciado"/>
        <w:jc w:val="both"/>
        <w:rPr>
          <w:rFonts w:ascii="Arial" w:hAnsi="Arial" w:cs="Arial"/>
        </w:rPr>
      </w:pPr>
    </w:p>
    <w:p w14:paraId="6D01AEA6" w14:textId="77777777" w:rsidR="00010DAC" w:rsidRDefault="00010DAC" w:rsidP="00010DAC">
      <w:pPr>
        <w:pStyle w:val="Sinespaciado"/>
        <w:jc w:val="both"/>
        <w:rPr>
          <w:rFonts w:ascii="Arial" w:hAnsi="Arial" w:cs="Arial"/>
        </w:rPr>
      </w:pPr>
      <w:r w:rsidRPr="001F4E31">
        <w:rPr>
          <w:rFonts w:ascii="Arial" w:hAnsi="Arial" w:cs="Arial"/>
        </w:rPr>
        <w:t xml:space="preserve">Rodríguez, R. (1989) Metodología para el análisis demográfico de la eficiencia terminal, la deserción y el rezago escolar. En Santoyo, R. (Coord.), </w:t>
      </w:r>
      <w:r w:rsidRPr="001F4E31">
        <w:rPr>
          <w:rFonts w:ascii="Arial" w:hAnsi="Arial" w:cs="Arial"/>
          <w:i/>
        </w:rPr>
        <w:t>La trayectoria escolar en la educación superior. Panorámica de la investigación y acercamientos metodológicos</w:t>
      </w:r>
      <w:r w:rsidRPr="001F4E31">
        <w:rPr>
          <w:rFonts w:ascii="Arial" w:hAnsi="Arial" w:cs="Arial"/>
        </w:rPr>
        <w:t xml:space="preserve"> (pp. 225-280). México: ANUIES.</w:t>
      </w:r>
    </w:p>
    <w:p w14:paraId="74960E56" w14:textId="77777777" w:rsidR="00010DAC" w:rsidRPr="001F4E31" w:rsidRDefault="00010DAC" w:rsidP="00010DAC">
      <w:pPr>
        <w:pStyle w:val="Sinespaciado"/>
        <w:jc w:val="both"/>
        <w:rPr>
          <w:rFonts w:ascii="Arial" w:hAnsi="Arial" w:cs="Arial"/>
        </w:rPr>
      </w:pPr>
    </w:p>
    <w:p w14:paraId="3BB0F925" w14:textId="77777777" w:rsidR="00010DAC" w:rsidRDefault="00010DAC" w:rsidP="00010DAC">
      <w:pPr>
        <w:pStyle w:val="Sinespaciado"/>
        <w:jc w:val="both"/>
        <w:rPr>
          <w:rFonts w:ascii="Arial" w:hAnsi="Arial" w:cs="Arial"/>
        </w:rPr>
      </w:pPr>
      <w:r w:rsidRPr="001F4E31">
        <w:rPr>
          <w:rFonts w:ascii="Arial" w:hAnsi="Arial" w:cs="Arial"/>
        </w:rPr>
        <w:t xml:space="preserve">Ruelas, E. y A. Alonso (2015). Imágenes generales sobre la posible evolución futura de las especialidades médicas. En Ruelas, E. y A. Alonso (Eds.), </w:t>
      </w:r>
      <w:r w:rsidRPr="001F4E31">
        <w:rPr>
          <w:rFonts w:ascii="Arial" w:hAnsi="Arial" w:cs="Arial"/>
          <w:i/>
        </w:rPr>
        <w:t>Futuros de las especialidades médicas en México</w:t>
      </w:r>
      <w:r w:rsidRPr="001F4E31">
        <w:rPr>
          <w:rFonts w:ascii="Arial" w:hAnsi="Arial" w:cs="Arial"/>
        </w:rPr>
        <w:t xml:space="preserve"> (pp. 105-122). México: Academia Nacional de Medicina de México y Consejo Nacional de Ciencia y Tecnología de México.</w:t>
      </w:r>
    </w:p>
    <w:p w14:paraId="0F52DCAE" w14:textId="77777777" w:rsidR="00010DAC" w:rsidRPr="001F4E31" w:rsidRDefault="00010DAC" w:rsidP="00010DAC">
      <w:pPr>
        <w:pStyle w:val="Sinespaciado"/>
        <w:jc w:val="both"/>
        <w:rPr>
          <w:rFonts w:ascii="Arial" w:hAnsi="Arial" w:cs="Arial"/>
        </w:rPr>
      </w:pPr>
    </w:p>
    <w:p w14:paraId="78E8C9B0" w14:textId="77777777" w:rsidR="00010DAC" w:rsidRDefault="00010DAC" w:rsidP="00010DAC">
      <w:pPr>
        <w:pStyle w:val="Sinespaciado"/>
        <w:jc w:val="both"/>
        <w:rPr>
          <w:rFonts w:ascii="Arial" w:hAnsi="Arial" w:cs="Arial"/>
        </w:rPr>
      </w:pPr>
      <w:r w:rsidRPr="001F4E31">
        <w:rPr>
          <w:rFonts w:ascii="Arial" w:hAnsi="Arial" w:cs="Arial"/>
        </w:rPr>
        <w:t xml:space="preserve">Santacruz, J. </w:t>
      </w:r>
      <w:r w:rsidRPr="001F4E31">
        <w:rPr>
          <w:rFonts w:ascii="Arial" w:hAnsi="Arial" w:cs="Arial"/>
          <w:i/>
        </w:rPr>
        <w:t xml:space="preserve"> et al.</w:t>
      </w:r>
      <w:r w:rsidRPr="001F4E31">
        <w:rPr>
          <w:rFonts w:ascii="Arial" w:hAnsi="Arial" w:cs="Arial"/>
        </w:rPr>
        <w:t xml:space="preserve"> (2015). Metodología para estimar el número de médicos especialistas en México. En Fajardo, G., Santacruz, J. y C. Lavalle (Coords.), </w:t>
      </w:r>
      <w:r w:rsidRPr="001F4E31">
        <w:rPr>
          <w:rFonts w:ascii="Arial" w:hAnsi="Arial" w:cs="Arial"/>
          <w:i/>
        </w:rPr>
        <w:t>La formación de médicos especialistas en México. Documento de postura</w:t>
      </w:r>
      <w:r w:rsidRPr="001F4E31">
        <w:rPr>
          <w:rFonts w:ascii="Arial" w:hAnsi="Arial" w:cs="Arial"/>
        </w:rPr>
        <w:t xml:space="preserve"> (pp. 71-152). México: Academia Nacional de Medicina de México y Consejo Nacional de Ciencia y Tecnología.</w:t>
      </w:r>
    </w:p>
    <w:p w14:paraId="158E53E9" w14:textId="77777777" w:rsidR="00010DAC" w:rsidRPr="001F4E31" w:rsidRDefault="00010DAC" w:rsidP="00010DAC">
      <w:pPr>
        <w:pStyle w:val="Sinespaciado"/>
        <w:jc w:val="both"/>
        <w:rPr>
          <w:rFonts w:ascii="Arial" w:hAnsi="Arial" w:cs="Arial"/>
        </w:rPr>
      </w:pPr>
    </w:p>
    <w:p w14:paraId="1035C593" w14:textId="77777777" w:rsidR="00010DAC" w:rsidRDefault="00010DAC" w:rsidP="00010DAC">
      <w:pPr>
        <w:pStyle w:val="Sinespaciado"/>
        <w:jc w:val="both"/>
        <w:rPr>
          <w:rFonts w:ascii="Arial" w:hAnsi="Arial" w:cs="Arial"/>
        </w:rPr>
      </w:pPr>
      <w:r w:rsidRPr="001F4E31">
        <w:rPr>
          <w:rFonts w:ascii="Arial" w:hAnsi="Arial" w:cs="Arial"/>
        </w:rPr>
        <w:t xml:space="preserve">Secretaría de Salud (2019). </w:t>
      </w:r>
      <w:r w:rsidRPr="001F4E31">
        <w:rPr>
          <w:rFonts w:ascii="Arial" w:hAnsi="Arial" w:cs="Arial"/>
          <w:i/>
        </w:rPr>
        <w:t>Recursos en Salud 2017</w:t>
      </w:r>
      <w:r w:rsidRPr="001F4E31">
        <w:rPr>
          <w:rFonts w:ascii="Arial" w:hAnsi="Arial" w:cs="Arial"/>
        </w:rPr>
        <w:t xml:space="preserve">. [En línea].  https://datos.gob.mx/busca/dataset/recursos-en-salud-nivel-central [Consulta el 28 de febrero de 2019]. </w:t>
      </w:r>
    </w:p>
    <w:p w14:paraId="79E94728" w14:textId="77777777" w:rsidR="00010DAC" w:rsidRPr="001F4E31" w:rsidRDefault="00010DAC" w:rsidP="00010DAC">
      <w:pPr>
        <w:pStyle w:val="Sinespaciado"/>
        <w:jc w:val="both"/>
        <w:rPr>
          <w:rFonts w:ascii="Arial" w:hAnsi="Arial" w:cs="Arial"/>
        </w:rPr>
      </w:pPr>
    </w:p>
    <w:p w14:paraId="055BB090" w14:textId="77777777" w:rsidR="00010DAC" w:rsidRPr="001F4E31" w:rsidRDefault="00010DAC" w:rsidP="00010DAC">
      <w:pPr>
        <w:pStyle w:val="Sinespaciado"/>
        <w:jc w:val="both"/>
        <w:rPr>
          <w:rFonts w:ascii="Arial" w:hAnsi="Arial" w:cs="Arial"/>
        </w:rPr>
      </w:pPr>
      <w:r w:rsidRPr="001F4E31">
        <w:rPr>
          <w:rFonts w:ascii="Arial" w:hAnsi="Arial" w:cs="Arial"/>
        </w:rPr>
        <w:t xml:space="preserve">Secretaría de Salud (s.f. a) </w:t>
      </w:r>
      <w:r w:rsidRPr="001F4E31">
        <w:rPr>
          <w:rFonts w:ascii="Arial" w:hAnsi="Arial" w:cs="Arial"/>
          <w:i/>
        </w:rPr>
        <w:t>Registro de egresos hospitalarios 2017</w:t>
      </w:r>
      <w:r w:rsidRPr="001F4E31">
        <w:rPr>
          <w:rFonts w:ascii="Arial" w:hAnsi="Arial" w:cs="Arial"/>
        </w:rPr>
        <w:t xml:space="preserve">. </w:t>
      </w:r>
      <w:r w:rsidRPr="001F4E31">
        <w:rPr>
          <w:rFonts w:ascii="Arial" w:hAnsi="Arial" w:cs="Arial"/>
          <w:i/>
        </w:rPr>
        <w:t>Procedimientos.</w:t>
      </w:r>
      <w:r w:rsidRPr="001F4E31">
        <w:rPr>
          <w:rFonts w:ascii="Arial" w:hAnsi="Arial" w:cs="Arial"/>
        </w:rPr>
        <w:t xml:space="preserve"> [En línea]. http://www.dgis.salud.gob.mx/contenidos/basesdedatos/da_egresoshosp_gobmx.html [Consulta el 05 de marzo de 2019]. </w:t>
      </w:r>
    </w:p>
    <w:p w14:paraId="29912E80" w14:textId="77777777" w:rsidR="00010DAC" w:rsidRDefault="00010DAC" w:rsidP="00010DAC">
      <w:pPr>
        <w:pStyle w:val="Sinespaciado"/>
        <w:jc w:val="both"/>
        <w:rPr>
          <w:rFonts w:ascii="Arial" w:hAnsi="Arial" w:cs="Arial"/>
        </w:rPr>
      </w:pPr>
      <w:r w:rsidRPr="001F4E31">
        <w:rPr>
          <w:rFonts w:ascii="Arial" w:hAnsi="Arial" w:cs="Arial"/>
        </w:rPr>
        <w:t xml:space="preserve">Secretaría de Salud (s.f.). </w:t>
      </w:r>
      <w:r w:rsidRPr="001F4E31">
        <w:rPr>
          <w:rFonts w:ascii="Arial" w:hAnsi="Arial" w:cs="Arial"/>
          <w:i/>
        </w:rPr>
        <w:t>Anuario de Morbilidad de México, 1984-2017</w:t>
      </w:r>
      <w:r w:rsidRPr="001F4E31">
        <w:rPr>
          <w:rFonts w:ascii="Arial" w:hAnsi="Arial" w:cs="Arial"/>
        </w:rPr>
        <w:t>. [En línea]. http://187.191.75.115/anuario/html/morbilidad_nacional.html [Consulta el 14 de febrero de 2019].</w:t>
      </w:r>
      <w:r w:rsidRPr="00E727FB">
        <w:rPr>
          <w:rFonts w:ascii="Arial" w:hAnsi="Arial" w:cs="Arial"/>
        </w:rPr>
        <w:t xml:space="preserve"> </w:t>
      </w:r>
    </w:p>
    <w:p w14:paraId="41B1A217" w14:textId="77777777" w:rsidR="00010DAC" w:rsidRDefault="00010DAC" w:rsidP="00010DAC">
      <w:pPr>
        <w:pStyle w:val="Sinespaciado"/>
        <w:jc w:val="both"/>
        <w:rPr>
          <w:rFonts w:ascii="Arial" w:hAnsi="Arial" w:cs="Arial"/>
        </w:rPr>
      </w:pPr>
    </w:p>
    <w:p w14:paraId="56A43208" w14:textId="77777777" w:rsidR="00010DAC" w:rsidRPr="00235A67" w:rsidRDefault="00010DAC" w:rsidP="00010DAC">
      <w:pPr>
        <w:pStyle w:val="Sinespaciado"/>
        <w:jc w:val="both"/>
        <w:rPr>
          <w:rFonts w:ascii="Arial" w:hAnsi="Arial" w:cs="Arial"/>
          <w:i/>
        </w:rPr>
      </w:pPr>
      <w:r w:rsidRPr="00235A67">
        <w:rPr>
          <w:rFonts w:ascii="Arial" w:hAnsi="Arial" w:cs="Arial"/>
          <w:lang w:val="en-US"/>
        </w:rPr>
        <w:lastRenderedPageBreak/>
        <w:t xml:space="preserve">Silvia, E. </w:t>
      </w:r>
      <w:r w:rsidRPr="003E3B1F">
        <w:rPr>
          <w:rFonts w:ascii="Arial" w:hAnsi="Arial" w:cs="Arial"/>
          <w:i/>
          <w:lang w:val="en-US"/>
        </w:rPr>
        <w:t>et al</w:t>
      </w:r>
      <w:r w:rsidRPr="00235A67">
        <w:rPr>
          <w:rFonts w:ascii="Arial" w:hAnsi="Arial" w:cs="Arial"/>
          <w:lang w:val="en-US"/>
        </w:rPr>
        <w:t xml:space="preserve">. (2018). Inferences on mortality using Heligman-Pollard model: The Mexican case. </w:t>
      </w:r>
      <w:r w:rsidRPr="00350C6D">
        <w:rPr>
          <w:rFonts w:ascii="Arial" w:hAnsi="Arial" w:cs="Arial"/>
          <w:i/>
        </w:rPr>
        <w:t xml:space="preserve">Communications in Statistics-Simulation and Computation. </w:t>
      </w:r>
      <w:r w:rsidRPr="00235A67">
        <w:rPr>
          <w:rFonts w:ascii="Arial" w:hAnsi="Arial" w:cs="Arial"/>
        </w:rPr>
        <w:t xml:space="preserve">[En línea]. https://doi.org/10.1080/03610918.2018.1538454 [Consulta el 14 de febrero de 2019]. </w:t>
      </w:r>
    </w:p>
    <w:p w14:paraId="6C48C568" w14:textId="77777777" w:rsidR="00010DAC" w:rsidRDefault="00010DAC" w:rsidP="001A2039">
      <w:pPr>
        <w:spacing w:line="360" w:lineRule="auto"/>
        <w:jc w:val="both"/>
        <w:rPr>
          <w:rFonts w:ascii="Arial" w:hAnsi="Arial" w:cs="Arial"/>
        </w:rPr>
      </w:pPr>
    </w:p>
    <w:sectPr w:rsidR="00010DAC" w:rsidSect="00C9214D">
      <w:pgSz w:w="12240" w:h="15840"/>
      <w:pgMar w:top="1418" w:right="1701"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55D506" w14:textId="77777777" w:rsidR="006F1848" w:rsidRDefault="006F1848" w:rsidP="000E19B0">
      <w:pPr>
        <w:spacing w:after="0" w:line="240" w:lineRule="auto"/>
      </w:pPr>
      <w:r>
        <w:separator/>
      </w:r>
    </w:p>
  </w:endnote>
  <w:endnote w:type="continuationSeparator" w:id="0">
    <w:p w14:paraId="0006C774" w14:textId="77777777" w:rsidR="006F1848" w:rsidRDefault="006F1848" w:rsidP="000E1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Indivisa Text Sans">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456582"/>
      <w:docPartObj>
        <w:docPartGallery w:val="Page Numbers (Bottom of Page)"/>
        <w:docPartUnique/>
      </w:docPartObj>
    </w:sdtPr>
    <w:sdtEndPr/>
    <w:sdtContent>
      <w:p w14:paraId="0DEA0054" w14:textId="65909757" w:rsidR="0062369B" w:rsidRDefault="0062369B">
        <w:pPr>
          <w:pStyle w:val="Piedepgina"/>
          <w:jc w:val="right"/>
        </w:pPr>
        <w:r>
          <w:fldChar w:fldCharType="begin"/>
        </w:r>
        <w:r>
          <w:instrText>PAGE   \* MERGEFORMAT</w:instrText>
        </w:r>
        <w:r>
          <w:fldChar w:fldCharType="separate"/>
        </w:r>
        <w:r w:rsidR="000522F3" w:rsidRPr="000522F3">
          <w:rPr>
            <w:noProof/>
            <w:lang w:val="es-ES"/>
          </w:rPr>
          <w:t>41</w:t>
        </w:r>
        <w:r>
          <w:fldChar w:fldCharType="end"/>
        </w:r>
      </w:p>
    </w:sdtContent>
  </w:sdt>
  <w:p w14:paraId="275B5AA0" w14:textId="074219F2" w:rsidR="0062369B" w:rsidRDefault="0062369B" w:rsidP="00C9214D">
    <w:pPr>
      <w:pStyle w:val="Piedepgina"/>
      <w:tabs>
        <w:tab w:val="clear" w:pos="4419"/>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BFEB9E" w14:textId="77777777" w:rsidR="006F1848" w:rsidRDefault="006F1848" w:rsidP="000E19B0">
      <w:pPr>
        <w:spacing w:after="0" w:line="240" w:lineRule="auto"/>
      </w:pPr>
      <w:r>
        <w:separator/>
      </w:r>
    </w:p>
  </w:footnote>
  <w:footnote w:type="continuationSeparator" w:id="0">
    <w:p w14:paraId="40B32269" w14:textId="77777777" w:rsidR="006F1848" w:rsidRDefault="006F1848" w:rsidP="000E19B0">
      <w:pPr>
        <w:spacing w:after="0" w:line="240" w:lineRule="auto"/>
      </w:pPr>
      <w:r>
        <w:continuationSeparator/>
      </w:r>
    </w:p>
  </w:footnote>
  <w:footnote w:id="1">
    <w:p w14:paraId="16CAF4B2" w14:textId="77777777" w:rsidR="0062369B" w:rsidRPr="00A87507" w:rsidRDefault="0062369B" w:rsidP="00A63240">
      <w:pPr>
        <w:autoSpaceDE w:val="0"/>
        <w:autoSpaceDN w:val="0"/>
        <w:adjustRightInd w:val="0"/>
        <w:spacing w:after="0" w:line="240" w:lineRule="auto"/>
        <w:ind w:left="142" w:hanging="142"/>
        <w:jc w:val="both"/>
        <w:rPr>
          <w:rFonts w:ascii="Arial" w:hAnsi="Arial" w:cs="Arial"/>
          <w:sz w:val="20"/>
          <w:szCs w:val="20"/>
        </w:rPr>
      </w:pPr>
      <w:r w:rsidRPr="00A87507">
        <w:rPr>
          <w:rStyle w:val="Refdenotaalpie"/>
          <w:rFonts w:ascii="Arial" w:hAnsi="Arial" w:cs="Arial"/>
          <w:sz w:val="20"/>
          <w:szCs w:val="20"/>
        </w:rPr>
        <w:footnoteRef/>
      </w:r>
      <w:r w:rsidRPr="00A87507">
        <w:rPr>
          <w:rFonts w:ascii="Arial" w:hAnsi="Arial" w:cs="Arial"/>
          <w:sz w:val="20"/>
          <w:szCs w:val="20"/>
        </w:rPr>
        <w:t xml:space="preserve"> Es reconocido el papel pionero de la Escuela de Medicina de la Universidad McMaster, de Canadá, así como el liderazgo e influencia de instituciones como Harvard Business School y Harvard Medical School.</w:t>
      </w:r>
    </w:p>
  </w:footnote>
  <w:footnote w:id="2">
    <w:p w14:paraId="031A08CA" w14:textId="77777777" w:rsidR="0062369B" w:rsidRPr="00D93528" w:rsidRDefault="0062369B" w:rsidP="00A63240">
      <w:pPr>
        <w:autoSpaceDE w:val="0"/>
        <w:autoSpaceDN w:val="0"/>
        <w:adjustRightInd w:val="0"/>
        <w:spacing w:after="0" w:line="240" w:lineRule="auto"/>
        <w:ind w:left="142" w:hanging="142"/>
        <w:jc w:val="both"/>
        <w:rPr>
          <w:rFonts w:ascii="Arial" w:hAnsi="Arial" w:cs="Arial"/>
          <w:sz w:val="20"/>
          <w:szCs w:val="20"/>
        </w:rPr>
      </w:pPr>
      <w:r w:rsidRPr="00A87507">
        <w:rPr>
          <w:rStyle w:val="Refdenotaalpie"/>
          <w:rFonts w:ascii="Arial" w:hAnsi="Arial" w:cs="Arial"/>
          <w:sz w:val="20"/>
          <w:szCs w:val="20"/>
        </w:rPr>
        <w:footnoteRef/>
      </w:r>
      <w:r w:rsidRPr="00A87507">
        <w:rPr>
          <w:rFonts w:ascii="Arial" w:hAnsi="Arial" w:cs="Arial"/>
          <w:sz w:val="20"/>
          <w:szCs w:val="20"/>
        </w:rPr>
        <w:t xml:space="preserve"> De acuerdo con Knoll (1997), la aparición del método de proyectos se sitúa históricamente en el movimiento de la educación vocacional en el campo de la arquitectura y el arte que comienza en Italia en el siglo XVI y se extiende a otros países de Europa Central hasta entrado el siglo XVIII.</w:t>
      </w:r>
    </w:p>
  </w:footnote>
  <w:footnote w:id="3">
    <w:p w14:paraId="18CFE2BC" w14:textId="77777777" w:rsidR="0062369B" w:rsidRPr="0007056C" w:rsidRDefault="0062369B" w:rsidP="00A63240">
      <w:pPr>
        <w:autoSpaceDE w:val="0"/>
        <w:autoSpaceDN w:val="0"/>
        <w:adjustRightInd w:val="0"/>
        <w:spacing w:after="0" w:line="240" w:lineRule="auto"/>
        <w:ind w:left="142" w:hanging="142"/>
        <w:jc w:val="both"/>
        <w:rPr>
          <w:rFonts w:ascii="Arial" w:hAnsi="Arial" w:cs="Arial"/>
          <w:sz w:val="20"/>
          <w:szCs w:val="20"/>
        </w:rPr>
      </w:pPr>
      <w:r w:rsidRPr="00A640CE">
        <w:rPr>
          <w:rStyle w:val="Refdenotaalpie"/>
          <w:rFonts w:ascii="Arial" w:hAnsi="Arial" w:cs="Arial"/>
          <w:sz w:val="20"/>
          <w:szCs w:val="20"/>
        </w:rPr>
        <w:footnoteRef/>
      </w:r>
      <w:r w:rsidRPr="00A640CE">
        <w:rPr>
          <w:rFonts w:ascii="Arial" w:hAnsi="Arial" w:cs="Arial"/>
          <w:sz w:val="20"/>
          <w:szCs w:val="20"/>
        </w:rPr>
        <w:t xml:space="preserve"> Tiene su origen en la Universidad de Harvard (aproximadamente en 1914), con el fin de que los estudiantes de Derecho, en el aprendizaje de las leyes, se enfrentaran a </w:t>
      </w:r>
      <w:r w:rsidRPr="00A640CE">
        <w:rPr>
          <w:rFonts w:ascii="Arial" w:hAnsi="Arial" w:cs="Arial"/>
          <w:bCs/>
          <w:sz w:val="20"/>
          <w:szCs w:val="20"/>
        </w:rPr>
        <w:t>situaciones reales</w:t>
      </w:r>
      <w:r w:rsidRPr="00A640CE">
        <w:rPr>
          <w:rFonts w:ascii="Arial" w:hAnsi="Arial" w:cs="Arial"/>
          <w:b/>
          <w:bCs/>
          <w:sz w:val="20"/>
          <w:szCs w:val="20"/>
        </w:rPr>
        <w:t xml:space="preserve"> </w:t>
      </w:r>
      <w:r w:rsidRPr="00A640CE">
        <w:rPr>
          <w:rFonts w:ascii="Arial" w:hAnsi="Arial" w:cs="Arial"/>
          <w:sz w:val="20"/>
          <w:szCs w:val="20"/>
        </w:rPr>
        <w:t>y tuvieran que tomar decisiones, valorar actuaciones, emitir juicios fundamentados.</w:t>
      </w:r>
    </w:p>
  </w:footnote>
  <w:footnote w:id="4">
    <w:p w14:paraId="3A89DE86" w14:textId="77777777" w:rsidR="0062369B" w:rsidRPr="006661DF" w:rsidRDefault="0062369B" w:rsidP="000C49BF">
      <w:pPr>
        <w:pStyle w:val="Textonotapie"/>
        <w:ind w:left="142" w:hanging="142"/>
        <w:jc w:val="both"/>
        <w:rPr>
          <w:rFonts w:ascii="Arial" w:hAnsi="Arial" w:cs="Arial"/>
        </w:rPr>
      </w:pPr>
      <w:r w:rsidRPr="000C49BF">
        <w:rPr>
          <w:rStyle w:val="Refdenotaalpie"/>
          <w:rFonts w:ascii="Arial" w:hAnsi="Arial" w:cs="Arial"/>
        </w:rPr>
        <w:footnoteRef/>
      </w:r>
      <w:r w:rsidRPr="000C49BF">
        <w:rPr>
          <w:rFonts w:ascii="Arial" w:hAnsi="Arial" w:cs="Arial"/>
        </w:rPr>
        <w:t xml:space="preserve"> </w:t>
      </w:r>
      <w:r w:rsidRPr="006661DF">
        <w:rPr>
          <w:rFonts w:ascii="Arial" w:hAnsi="Arial" w:cs="Arial"/>
        </w:rPr>
        <w:t xml:space="preserve">Mina, A. (2010). Evolución de la mortalidad: pasado, presente y futuro. </w:t>
      </w:r>
      <w:r w:rsidRPr="006661DF">
        <w:rPr>
          <w:rFonts w:ascii="Arial" w:hAnsi="Arial" w:cs="Arial"/>
          <w:i/>
        </w:rPr>
        <w:t>Los grandes problemas de México. Población (</w:t>
      </w:r>
      <w:r w:rsidRPr="006661DF">
        <w:rPr>
          <w:rFonts w:ascii="Arial" w:hAnsi="Arial" w:cs="Arial"/>
        </w:rPr>
        <w:t>pp.79-104)</w:t>
      </w:r>
      <w:r w:rsidRPr="006661DF">
        <w:rPr>
          <w:rFonts w:ascii="Arial" w:hAnsi="Arial" w:cs="Arial"/>
          <w:i/>
        </w:rPr>
        <w:t>.</w:t>
      </w:r>
      <w:r w:rsidRPr="006661DF">
        <w:rPr>
          <w:rFonts w:ascii="Arial" w:hAnsi="Arial" w:cs="Arial"/>
        </w:rPr>
        <w:t xml:space="preserve"> B. García y M. Ordorica (coords.). El Colegio de México: México, D.F.</w:t>
      </w:r>
    </w:p>
  </w:footnote>
  <w:footnote w:id="5">
    <w:p w14:paraId="562A7F50" w14:textId="77777777" w:rsidR="0062369B" w:rsidRPr="006661DF" w:rsidRDefault="0062369B" w:rsidP="000C49BF">
      <w:pPr>
        <w:pStyle w:val="Textonotapie"/>
        <w:ind w:left="142" w:hanging="142"/>
        <w:jc w:val="both"/>
        <w:rPr>
          <w:rFonts w:ascii="Arial" w:hAnsi="Arial" w:cs="Arial"/>
        </w:rPr>
      </w:pPr>
      <w:r w:rsidRPr="006661DF">
        <w:rPr>
          <w:rStyle w:val="Refdenotaalpie"/>
          <w:rFonts w:ascii="Arial" w:hAnsi="Arial" w:cs="Arial"/>
        </w:rPr>
        <w:footnoteRef/>
      </w:r>
      <w:r w:rsidRPr="006661DF">
        <w:rPr>
          <w:rFonts w:ascii="Arial" w:hAnsi="Arial" w:cs="Arial"/>
        </w:rPr>
        <w:t xml:space="preserve"> Cárdenas, R. (2010). Desafíos de la atención a la salud. </w:t>
      </w:r>
      <w:r w:rsidRPr="006661DF">
        <w:rPr>
          <w:rFonts w:ascii="Arial" w:hAnsi="Arial" w:cs="Arial"/>
          <w:i/>
        </w:rPr>
        <w:t>Los grandes problemas de México. Población (</w:t>
      </w:r>
      <w:r w:rsidRPr="006661DF">
        <w:rPr>
          <w:rFonts w:ascii="Arial" w:hAnsi="Arial" w:cs="Arial"/>
        </w:rPr>
        <w:t>pp.105-136)</w:t>
      </w:r>
      <w:r w:rsidRPr="006661DF">
        <w:rPr>
          <w:rFonts w:ascii="Arial" w:hAnsi="Arial" w:cs="Arial"/>
          <w:i/>
        </w:rPr>
        <w:t>.</w:t>
      </w:r>
      <w:r w:rsidRPr="006661DF">
        <w:rPr>
          <w:rFonts w:ascii="Arial" w:hAnsi="Arial" w:cs="Arial"/>
        </w:rPr>
        <w:t xml:space="preserve"> B. García y M. Ordorica (coords.). El Colegio de México: México, D.F.</w:t>
      </w:r>
    </w:p>
  </w:footnote>
  <w:footnote w:id="6">
    <w:p w14:paraId="37630897" w14:textId="77777777" w:rsidR="0062369B" w:rsidRPr="000C49BF" w:rsidRDefault="0062369B" w:rsidP="000C49BF">
      <w:pPr>
        <w:pStyle w:val="Textonotapie"/>
        <w:ind w:left="142" w:hanging="142"/>
        <w:jc w:val="both"/>
        <w:rPr>
          <w:rFonts w:ascii="Arial" w:hAnsi="Arial" w:cs="Arial"/>
        </w:rPr>
      </w:pPr>
      <w:r w:rsidRPr="006661DF">
        <w:rPr>
          <w:rStyle w:val="Refdenotaalpie"/>
          <w:rFonts w:ascii="Arial" w:hAnsi="Arial" w:cs="Arial"/>
        </w:rPr>
        <w:footnoteRef/>
      </w:r>
      <w:r w:rsidRPr="006661DF">
        <w:rPr>
          <w:rFonts w:ascii="Arial" w:hAnsi="Arial" w:cs="Arial"/>
        </w:rPr>
        <w:t xml:space="preserve"> CONAPO (2018). Proyecciones de población de México y de las entidades federativas 2016-2050. Consultado el 1/02/2019 de http://www.conapo.gob.mx.</w:t>
      </w:r>
    </w:p>
  </w:footnote>
  <w:footnote w:id="7">
    <w:p w14:paraId="6D4D4B3D" w14:textId="77777777" w:rsidR="0062369B" w:rsidRPr="000C49BF" w:rsidRDefault="0062369B" w:rsidP="00461D21">
      <w:pPr>
        <w:pStyle w:val="Textonotapie"/>
        <w:rPr>
          <w:rFonts w:ascii="Arial" w:hAnsi="Arial" w:cs="Arial"/>
        </w:rPr>
      </w:pPr>
      <w:r w:rsidRPr="000C49BF">
        <w:rPr>
          <w:rStyle w:val="Refdenotaalpie"/>
          <w:rFonts w:ascii="Arial" w:hAnsi="Arial" w:cs="Arial"/>
        </w:rPr>
        <w:footnoteRef/>
      </w:r>
      <w:r w:rsidRPr="000C49BF">
        <w:rPr>
          <w:rFonts w:ascii="Arial" w:hAnsi="Arial" w:cs="Arial"/>
        </w:rPr>
        <w:t xml:space="preserve"> </w:t>
      </w:r>
      <w:r w:rsidRPr="000C49BF">
        <w:rPr>
          <w:rFonts w:ascii="Arial" w:hAnsi="Arial" w:cs="Arial"/>
          <w:i/>
        </w:rPr>
        <w:t>Ibídem</w:t>
      </w:r>
      <w:r w:rsidRPr="000C49BF">
        <w:rPr>
          <w:rFonts w:ascii="Arial" w:hAnsi="Arial" w:cs="Arial"/>
        </w:rPr>
        <w:t>.</w:t>
      </w:r>
    </w:p>
  </w:footnote>
  <w:footnote w:id="8">
    <w:p w14:paraId="494C60D1" w14:textId="77777777" w:rsidR="0062369B" w:rsidRPr="006661DF" w:rsidRDefault="0062369B" w:rsidP="00461D21">
      <w:pPr>
        <w:pStyle w:val="Textonotapie"/>
        <w:rPr>
          <w:rFonts w:ascii="Arial" w:hAnsi="Arial" w:cs="Arial"/>
        </w:rPr>
      </w:pPr>
      <w:r w:rsidRPr="006661DF">
        <w:rPr>
          <w:rStyle w:val="Refdenotaalpie"/>
          <w:rFonts w:ascii="Arial" w:hAnsi="Arial" w:cs="Arial"/>
        </w:rPr>
        <w:footnoteRef/>
      </w:r>
      <w:r w:rsidRPr="006661DF">
        <w:rPr>
          <w:rFonts w:ascii="Arial" w:hAnsi="Arial" w:cs="Arial"/>
        </w:rPr>
        <w:t xml:space="preserve"> </w:t>
      </w:r>
      <w:r w:rsidRPr="006661DF">
        <w:rPr>
          <w:rFonts w:ascii="Arial" w:hAnsi="Arial" w:cs="Arial"/>
          <w:i/>
        </w:rPr>
        <w:t>Ibídem</w:t>
      </w:r>
      <w:r w:rsidRPr="006661DF">
        <w:rPr>
          <w:rFonts w:ascii="Arial" w:hAnsi="Arial" w:cs="Arial"/>
        </w:rPr>
        <w:t>.</w:t>
      </w:r>
    </w:p>
  </w:footnote>
  <w:footnote w:id="9">
    <w:p w14:paraId="122AFCEF" w14:textId="77777777" w:rsidR="0062369B" w:rsidRPr="006661DF" w:rsidRDefault="0062369B" w:rsidP="000C49BF">
      <w:pPr>
        <w:pStyle w:val="Textonotapie"/>
        <w:ind w:left="142" w:hanging="142"/>
        <w:rPr>
          <w:rFonts w:ascii="Arial" w:hAnsi="Arial" w:cs="Arial"/>
        </w:rPr>
      </w:pPr>
      <w:r w:rsidRPr="006661DF">
        <w:rPr>
          <w:rStyle w:val="Refdenotaalpie"/>
          <w:rFonts w:ascii="Arial" w:hAnsi="Arial" w:cs="Arial"/>
        </w:rPr>
        <w:footnoteRef/>
      </w:r>
      <w:r w:rsidRPr="006661DF">
        <w:rPr>
          <w:rFonts w:ascii="Arial" w:hAnsi="Arial" w:cs="Arial"/>
        </w:rPr>
        <w:t xml:space="preserve"> Ordorica, M. (2010). Las proyecciones de población hasta mitad del siglo XXI. </w:t>
      </w:r>
      <w:r w:rsidRPr="006661DF">
        <w:rPr>
          <w:rFonts w:ascii="Arial" w:hAnsi="Arial" w:cs="Arial"/>
          <w:i/>
        </w:rPr>
        <w:t>Los grandes problemas de México. Población</w:t>
      </w:r>
      <w:r w:rsidRPr="006661DF">
        <w:rPr>
          <w:rFonts w:ascii="Arial" w:hAnsi="Arial" w:cs="Arial"/>
        </w:rPr>
        <w:t xml:space="preserve"> (pp.29-52). B. García y M. Ordorica (coords.). El Colegio de México: México, D.F.</w:t>
      </w:r>
    </w:p>
  </w:footnote>
  <w:footnote w:id="10">
    <w:p w14:paraId="1636097C" w14:textId="77777777" w:rsidR="0062369B" w:rsidRPr="000C49BF" w:rsidRDefault="0062369B" w:rsidP="000C49BF">
      <w:pPr>
        <w:pStyle w:val="Textonotapie"/>
        <w:ind w:left="142" w:hanging="142"/>
        <w:rPr>
          <w:rFonts w:ascii="Arial" w:hAnsi="Arial" w:cs="Arial"/>
        </w:rPr>
      </w:pPr>
      <w:r w:rsidRPr="006661DF">
        <w:rPr>
          <w:rStyle w:val="Refdenotaalpie"/>
          <w:rFonts w:ascii="Arial" w:hAnsi="Arial" w:cs="Arial"/>
        </w:rPr>
        <w:footnoteRef/>
      </w:r>
      <w:r w:rsidRPr="006661DF">
        <w:rPr>
          <w:rFonts w:ascii="Arial" w:hAnsi="Arial" w:cs="Arial"/>
        </w:rPr>
        <w:t xml:space="preserve"> CONAPO (2018), </w:t>
      </w:r>
      <w:r w:rsidRPr="006661DF">
        <w:rPr>
          <w:rFonts w:ascii="Arial" w:hAnsi="Arial" w:cs="Arial"/>
          <w:i/>
        </w:rPr>
        <w:t>op. cit.</w:t>
      </w:r>
      <w:r w:rsidRPr="006661DF">
        <w:rPr>
          <w:rFonts w:ascii="Arial" w:hAnsi="Arial" w:cs="Arial"/>
        </w:rPr>
        <w:t>, s</w:t>
      </w:r>
      <w:r w:rsidRPr="000C49BF">
        <w:rPr>
          <w:rFonts w:ascii="Arial" w:hAnsi="Arial" w:cs="Arial"/>
        </w:rPr>
        <w:t>.p.</w:t>
      </w:r>
    </w:p>
  </w:footnote>
  <w:footnote w:id="11">
    <w:p w14:paraId="3216976A" w14:textId="77777777" w:rsidR="0062369B" w:rsidRPr="000C49BF" w:rsidRDefault="0062369B" w:rsidP="000C49BF">
      <w:pPr>
        <w:pStyle w:val="Textonotapie"/>
        <w:ind w:left="142" w:hanging="142"/>
        <w:rPr>
          <w:rFonts w:ascii="Arial" w:hAnsi="Arial" w:cs="Arial"/>
        </w:rPr>
      </w:pPr>
      <w:r w:rsidRPr="006661DF">
        <w:rPr>
          <w:rStyle w:val="Refdenotaalpie"/>
          <w:rFonts w:ascii="Arial" w:hAnsi="Arial" w:cs="Arial"/>
        </w:rPr>
        <w:footnoteRef/>
      </w:r>
      <w:r w:rsidRPr="006661DF">
        <w:rPr>
          <w:rFonts w:ascii="Arial" w:hAnsi="Arial" w:cs="Arial"/>
        </w:rPr>
        <w:t xml:space="preserve"> Ortiz, M., Gerónimo, L. (2008). El envejecimiento en México. Aspectos territoriales y repercusiones sociales. </w:t>
      </w:r>
      <w:r w:rsidRPr="006661DF">
        <w:rPr>
          <w:rFonts w:ascii="Arial" w:hAnsi="Arial" w:cs="Arial"/>
          <w:i/>
        </w:rPr>
        <w:t>Trayectorias</w:t>
      </w:r>
      <w:r w:rsidRPr="006661DF">
        <w:rPr>
          <w:rFonts w:ascii="Arial" w:hAnsi="Arial" w:cs="Arial"/>
        </w:rPr>
        <w:t>, 10(26), pp. 79-92.</w:t>
      </w:r>
    </w:p>
  </w:footnote>
  <w:footnote w:id="12">
    <w:p w14:paraId="27BB8E48" w14:textId="77777777" w:rsidR="0062369B" w:rsidRPr="000C49BF" w:rsidRDefault="0062369B" w:rsidP="00461D21">
      <w:pPr>
        <w:pStyle w:val="Textonotapie"/>
        <w:rPr>
          <w:rFonts w:ascii="Arial" w:hAnsi="Arial" w:cs="Arial"/>
        </w:rPr>
      </w:pPr>
      <w:r w:rsidRPr="000C49BF">
        <w:rPr>
          <w:rStyle w:val="Refdenotaalpie"/>
          <w:rFonts w:ascii="Arial" w:hAnsi="Arial" w:cs="Arial"/>
        </w:rPr>
        <w:footnoteRef/>
      </w:r>
      <w:r w:rsidRPr="000C49BF">
        <w:rPr>
          <w:rFonts w:ascii="Arial" w:hAnsi="Arial" w:cs="Arial"/>
        </w:rPr>
        <w:t xml:space="preserve"> CONAPO (2018), </w:t>
      </w:r>
      <w:r w:rsidRPr="000C49BF">
        <w:rPr>
          <w:rFonts w:ascii="Arial" w:hAnsi="Arial" w:cs="Arial"/>
          <w:i/>
        </w:rPr>
        <w:t>op. cit.</w:t>
      </w:r>
      <w:r w:rsidRPr="000C49BF">
        <w:rPr>
          <w:rFonts w:ascii="Arial" w:hAnsi="Arial" w:cs="Arial"/>
        </w:rPr>
        <w:t>, s.p.</w:t>
      </w:r>
    </w:p>
  </w:footnote>
  <w:footnote w:id="13">
    <w:p w14:paraId="614E32A7" w14:textId="77777777" w:rsidR="0062369B" w:rsidRPr="000C49BF" w:rsidRDefault="0062369B" w:rsidP="00461D21">
      <w:pPr>
        <w:pStyle w:val="Textonotapie"/>
        <w:rPr>
          <w:rFonts w:ascii="Arial" w:hAnsi="Arial" w:cs="Arial"/>
        </w:rPr>
      </w:pPr>
      <w:r w:rsidRPr="000C49BF">
        <w:rPr>
          <w:rStyle w:val="Refdenotaalpie"/>
          <w:rFonts w:ascii="Arial" w:hAnsi="Arial" w:cs="Arial"/>
        </w:rPr>
        <w:footnoteRef/>
      </w:r>
      <w:r w:rsidRPr="000C49BF">
        <w:rPr>
          <w:rFonts w:ascii="Arial" w:hAnsi="Arial" w:cs="Arial"/>
        </w:rPr>
        <w:t xml:space="preserve"> </w:t>
      </w:r>
      <w:r w:rsidRPr="000C49BF">
        <w:rPr>
          <w:rFonts w:ascii="Arial" w:hAnsi="Arial" w:cs="Arial"/>
          <w:i/>
        </w:rPr>
        <w:t>Ibídem</w:t>
      </w:r>
      <w:r w:rsidRPr="000C49BF">
        <w:rPr>
          <w:rFonts w:ascii="Arial" w:hAnsi="Arial" w:cs="Arial"/>
        </w:rPr>
        <w:t>.</w:t>
      </w:r>
    </w:p>
  </w:footnote>
  <w:footnote w:id="14">
    <w:p w14:paraId="0FFA09FC" w14:textId="77777777" w:rsidR="0062369B" w:rsidRPr="006661DF" w:rsidRDefault="0062369B" w:rsidP="00045356">
      <w:pPr>
        <w:pStyle w:val="Textonotapie"/>
        <w:ind w:left="170" w:hanging="170"/>
        <w:rPr>
          <w:rFonts w:ascii="Arial" w:hAnsi="Arial" w:cs="Arial"/>
        </w:rPr>
      </w:pPr>
      <w:r w:rsidRPr="006661DF">
        <w:rPr>
          <w:rStyle w:val="Refdenotaalpie"/>
          <w:rFonts w:ascii="Arial" w:hAnsi="Arial" w:cs="Arial"/>
        </w:rPr>
        <w:footnoteRef/>
      </w:r>
      <w:r w:rsidRPr="006661DF">
        <w:rPr>
          <w:rFonts w:ascii="Arial" w:hAnsi="Arial" w:cs="Arial"/>
        </w:rPr>
        <w:t xml:space="preserve"> INEGI (2016). </w:t>
      </w:r>
      <w:r w:rsidRPr="006661DF">
        <w:rPr>
          <w:rFonts w:ascii="Arial" w:hAnsi="Arial" w:cs="Arial"/>
          <w:i/>
        </w:rPr>
        <w:t>Encuesta Intercensal 2015</w:t>
      </w:r>
      <w:r w:rsidRPr="006661DF">
        <w:rPr>
          <w:rFonts w:ascii="Arial" w:hAnsi="Arial" w:cs="Arial"/>
        </w:rPr>
        <w:t>. Consultado el 02/02/2019 de https://www.inegi.org.mx/programas/intercensal/2015/.</w:t>
      </w:r>
    </w:p>
  </w:footnote>
  <w:footnote w:id="15">
    <w:p w14:paraId="065DCFCF" w14:textId="77777777" w:rsidR="0062369B" w:rsidRPr="006661DF" w:rsidRDefault="0062369B" w:rsidP="000C49BF">
      <w:pPr>
        <w:pStyle w:val="Textonotapie"/>
        <w:ind w:left="142" w:hanging="142"/>
        <w:rPr>
          <w:rFonts w:ascii="Arial" w:hAnsi="Arial" w:cs="Arial"/>
        </w:rPr>
      </w:pPr>
      <w:r w:rsidRPr="006661DF">
        <w:rPr>
          <w:rStyle w:val="Refdenotaalpie"/>
          <w:rFonts w:ascii="Arial" w:hAnsi="Arial" w:cs="Arial"/>
        </w:rPr>
        <w:footnoteRef/>
      </w:r>
      <w:r w:rsidRPr="006661DF">
        <w:rPr>
          <w:rFonts w:ascii="Arial" w:hAnsi="Arial" w:cs="Arial"/>
        </w:rPr>
        <w:t xml:space="preserve"> </w:t>
      </w:r>
      <w:r w:rsidRPr="006661DF">
        <w:rPr>
          <w:rFonts w:ascii="Arial" w:hAnsi="Arial" w:cs="Arial"/>
          <w:i/>
        </w:rPr>
        <w:t>Ibídem</w:t>
      </w:r>
      <w:r w:rsidRPr="006661DF">
        <w:rPr>
          <w:rFonts w:ascii="Arial" w:hAnsi="Arial" w:cs="Arial"/>
        </w:rPr>
        <w:t>.</w:t>
      </w:r>
    </w:p>
  </w:footnote>
  <w:footnote w:id="16">
    <w:p w14:paraId="57F9E1B5" w14:textId="77777777" w:rsidR="0062369B" w:rsidRPr="000C49BF" w:rsidRDefault="0062369B" w:rsidP="00045356">
      <w:pPr>
        <w:pStyle w:val="Textonotapie"/>
        <w:ind w:left="170" w:hanging="170"/>
        <w:rPr>
          <w:rFonts w:ascii="Arial" w:hAnsi="Arial" w:cs="Arial"/>
        </w:rPr>
      </w:pPr>
      <w:r w:rsidRPr="006661DF">
        <w:rPr>
          <w:rStyle w:val="Refdenotaalpie"/>
          <w:rFonts w:ascii="Arial" w:hAnsi="Arial" w:cs="Arial"/>
        </w:rPr>
        <w:footnoteRef/>
      </w:r>
      <w:r w:rsidRPr="006661DF">
        <w:rPr>
          <w:rFonts w:ascii="Arial" w:hAnsi="Arial" w:cs="Arial"/>
        </w:rPr>
        <w:t xml:space="preserve"> Negrete, M. (2003). El envejecimiento poblacional en la Ciudad de México: evolución y pautas de distribución espacial entre 1970 y 2000. </w:t>
      </w:r>
      <w:r w:rsidRPr="006661DF">
        <w:rPr>
          <w:rFonts w:ascii="Arial" w:hAnsi="Arial" w:cs="Arial"/>
          <w:i/>
        </w:rPr>
        <w:t>Papeles de Población</w:t>
      </w:r>
      <w:r w:rsidRPr="006661DF">
        <w:rPr>
          <w:rFonts w:ascii="Arial" w:hAnsi="Arial" w:cs="Arial"/>
        </w:rPr>
        <w:t>, 9(37), pp. 107-127.</w:t>
      </w:r>
    </w:p>
  </w:footnote>
  <w:footnote w:id="17">
    <w:p w14:paraId="2854CEB9" w14:textId="77777777" w:rsidR="0062369B" w:rsidRPr="000C49BF" w:rsidRDefault="0062369B" w:rsidP="000C49BF">
      <w:pPr>
        <w:pStyle w:val="Textonotapie"/>
        <w:ind w:left="142" w:hanging="142"/>
        <w:rPr>
          <w:rFonts w:ascii="Arial" w:hAnsi="Arial" w:cs="Arial"/>
        </w:rPr>
      </w:pPr>
      <w:r w:rsidRPr="000C49BF">
        <w:rPr>
          <w:rStyle w:val="Refdenotaalpie"/>
          <w:rFonts w:ascii="Arial" w:hAnsi="Arial" w:cs="Arial"/>
        </w:rPr>
        <w:footnoteRef/>
      </w:r>
      <w:r w:rsidRPr="000C49BF">
        <w:rPr>
          <w:rFonts w:ascii="Arial" w:hAnsi="Arial" w:cs="Arial"/>
        </w:rPr>
        <w:t xml:space="preserve"> Ibídem.</w:t>
      </w:r>
    </w:p>
  </w:footnote>
  <w:footnote w:id="18">
    <w:p w14:paraId="588B4D3F" w14:textId="77777777" w:rsidR="0062369B" w:rsidRPr="000C49BF" w:rsidRDefault="0062369B" w:rsidP="000C49BF">
      <w:pPr>
        <w:pStyle w:val="Textonotapie"/>
        <w:ind w:left="142" w:hanging="142"/>
        <w:rPr>
          <w:rFonts w:ascii="Arial" w:hAnsi="Arial" w:cs="Arial"/>
        </w:rPr>
      </w:pPr>
      <w:r w:rsidRPr="000C49BF">
        <w:rPr>
          <w:rStyle w:val="Refdenotaalpie"/>
          <w:rFonts w:ascii="Arial" w:hAnsi="Arial" w:cs="Arial"/>
        </w:rPr>
        <w:footnoteRef/>
      </w:r>
      <w:r w:rsidRPr="000C49BF">
        <w:rPr>
          <w:rFonts w:ascii="Arial" w:hAnsi="Arial" w:cs="Arial"/>
        </w:rPr>
        <w:t xml:space="preserve"> Ordorica (2010), </w:t>
      </w:r>
      <w:r w:rsidRPr="000C49BF">
        <w:rPr>
          <w:rFonts w:ascii="Arial" w:hAnsi="Arial" w:cs="Arial"/>
          <w:i/>
        </w:rPr>
        <w:t>op. cit.</w:t>
      </w:r>
      <w:r w:rsidRPr="000C49BF">
        <w:rPr>
          <w:rFonts w:ascii="Arial" w:hAnsi="Arial" w:cs="Arial"/>
        </w:rPr>
        <w:t>, p. 45.</w:t>
      </w:r>
    </w:p>
  </w:footnote>
  <w:footnote w:id="19">
    <w:p w14:paraId="27EF9CC8" w14:textId="77777777" w:rsidR="0062369B" w:rsidRPr="006661DF" w:rsidRDefault="0062369B" w:rsidP="00045356">
      <w:pPr>
        <w:pStyle w:val="Textonotapie"/>
        <w:ind w:left="170" w:hanging="170"/>
        <w:rPr>
          <w:rFonts w:ascii="Arial" w:hAnsi="Arial" w:cs="Arial"/>
        </w:rPr>
      </w:pPr>
      <w:r w:rsidRPr="006661DF">
        <w:rPr>
          <w:rStyle w:val="Refdenotaalpie"/>
          <w:rFonts w:ascii="Arial" w:hAnsi="Arial" w:cs="Arial"/>
        </w:rPr>
        <w:footnoteRef/>
      </w:r>
      <w:r w:rsidRPr="006661DF">
        <w:rPr>
          <w:rFonts w:ascii="Arial" w:hAnsi="Arial" w:cs="Arial"/>
        </w:rPr>
        <w:t xml:space="preserve"> Frenk, J. et al. (1991). La transición epidemiológica en América Latina (The epidemiologic transition in Latin America). </w:t>
      </w:r>
      <w:r w:rsidRPr="006661DF">
        <w:rPr>
          <w:rFonts w:ascii="Arial" w:hAnsi="Arial" w:cs="Arial"/>
          <w:i/>
        </w:rPr>
        <w:t>Boletín de la Oficina Sanitaria Panamericana</w:t>
      </w:r>
      <w:r w:rsidRPr="006661DF">
        <w:rPr>
          <w:rFonts w:ascii="Arial" w:hAnsi="Arial" w:cs="Arial"/>
        </w:rPr>
        <w:t>, 111(6); pp. 485-496.</w:t>
      </w:r>
    </w:p>
  </w:footnote>
  <w:footnote w:id="20">
    <w:p w14:paraId="2E5E5A88" w14:textId="77777777" w:rsidR="0062369B" w:rsidRPr="008D368C" w:rsidRDefault="0062369B" w:rsidP="00B350E5">
      <w:pPr>
        <w:pStyle w:val="Textonotapie"/>
        <w:rPr>
          <w:rFonts w:ascii="Arial" w:hAnsi="Arial" w:cs="Arial"/>
        </w:rPr>
      </w:pPr>
      <w:r w:rsidRPr="006661DF">
        <w:rPr>
          <w:rStyle w:val="Refdenotaalpie"/>
          <w:rFonts w:ascii="Arial" w:hAnsi="Arial" w:cs="Arial"/>
        </w:rPr>
        <w:footnoteRef/>
      </w:r>
      <w:r w:rsidRPr="006661DF">
        <w:rPr>
          <w:rFonts w:ascii="Arial" w:hAnsi="Arial" w:cs="Arial"/>
        </w:rPr>
        <w:t xml:space="preserve"> Mina, </w:t>
      </w:r>
      <w:r w:rsidRPr="006661DF">
        <w:rPr>
          <w:rFonts w:ascii="Arial" w:hAnsi="Arial" w:cs="Arial"/>
          <w:i/>
        </w:rPr>
        <w:t>Op. cit.</w:t>
      </w:r>
      <w:r w:rsidRPr="006661DF">
        <w:rPr>
          <w:rFonts w:ascii="Arial" w:hAnsi="Arial" w:cs="Arial"/>
        </w:rPr>
        <w:t>, p.81.</w:t>
      </w:r>
    </w:p>
  </w:footnote>
  <w:footnote w:id="21">
    <w:p w14:paraId="74C3DDE2" w14:textId="77777777" w:rsidR="0062369B" w:rsidRPr="008D368C" w:rsidRDefault="0062369B" w:rsidP="00045356">
      <w:pPr>
        <w:pStyle w:val="Textonotapie"/>
        <w:ind w:left="170" w:hanging="170"/>
        <w:rPr>
          <w:rFonts w:ascii="Arial" w:hAnsi="Arial" w:cs="Arial"/>
        </w:rPr>
      </w:pPr>
      <w:r w:rsidRPr="006661DF">
        <w:rPr>
          <w:rStyle w:val="Refdenotaalpie"/>
          <w:rFonts w:ascii="Arial" w:hAnsi="Arial" w:cs="Arial"/>
        </w:rPr>
        <w:footnoteRef/>
      </w:r>
      <w:r w:rsidRPr="006661DF">
        <w:rPr>
          <w:rFonts w:ascii="Arial" w:hAnsi="Arial" w:cs="Arial"/>
        </w:rPr>
        <w:t xml:space="preserve"> Frenk, J., Bobadilla, J., Stern, C., Frejka, T., Lozano, R. (1991a). Elementos para una teoría de la transición en salud. </w:t>
      </w:r>
      <w:r w:rsidRPr="006661DF">
        <w:rPr>
          <w:rFonts w:ascii="Arial" w:hAnsi="Arial" w:cs="Arial"/>
          <w:i/>
        </w:rPr>
        <w:t>Salud Pública de México</w:t>
      </w:r>
      <w:r w:rsidRPr="006661DF">
        <w:rPr>
          <w:rFonts w:ascii="Arial" w:hAnsi="Arial" w:cs="Arial"/>
        </w:rPr>
        <w:t>, 33(5), pp. 448-462.</w:t>
      </w:r>
    </w:p>
  </w:footnote>
  <w:footnote w:id="22">
    <w:p w14:paraId="19241613" w14:textId="78946A8F" w:rsidR="0062369B" w:rsidRPr="006661DF" w:rsidRDefault="0062369B" w:rsidP="00B350E5">
      <w:pPr>
        <w:pStyle w:val="Textonotapie"/>
        <w:rPr>
          <w:rFonts w:ascii="Arial" w:hAnsi="Arial" w:cs="Arial"/>
        </w:rPr>
      </w:pPr>
      <w:r w:rsidRPr="006661DF">
        <w:rPr>
          <w:rStyle w:val="Refdenotaalpie"/>
          <w:rFonts w:ascii="Arial" w:hAnsi="Arial" w:cs="Arial"/>
        </w:rPr>
        <w:footnoteRef/>
      </w:r>
      <w:r w:rsidRPr="006661DF">
        <w:rPr>
          <w:rFonts w:ascii="Arial" w:hAnsi="Arial" w:cs="Arial"/>
        </w:rPr>
        <w:t xml:space="preserve"> Frenk </w:t>
      </w:r>
      <w:r w:rsidRPr="006661DF">
        <w:rPr>
          <w:rFonts w:ascii="Arial" w:hAnsi="Arial" w:cs="Arial"/>
          <w:i/>
        </w:rPr>
        <w:t>et al.</w:t>
      </w:r>
      <w:r w:rsidRPr="006661DF">
        <w:rPr>
          <w:rFonts w:ascii="Arial" w:hAnsi="Arial" w:cs="Arial"/>
        </w:rPr>
        <w:t xml:space="preserve">, </w:t>
      </w:r>
      <w:r w:rsidRPr="006661DF">
        <w:rPr>
          <w:rFonts w:ascii="Arial" w:hAnsi="Arial" w:cs="Arial"/>
          <w:i/>
        </w:rPr>
        <w:t>Op. cit.</w:t>
      </w:r>
      <w:r w:rsidRPr="006661DF">
        <w:rPr>
          <w:rFonts w:ascii="Arial" w:hAnsi="Arial" w:cs="Arial"/>
        </w:rPr>
        <w:t>, p. 487.</w:t>
      </w:r>
    </w:p>
  </w:footnote>
  <w:footnote w:id="23">
    <w:p w14:paraId="29879593" w14:textId="77777777" w:rsidR="0062369B" w:rsidRPr="00B6002F" w:rsidRDefault="0062369B" w:rsidP="00045356">
      <w:pPr>
        <w:pStyle w:val="Textonotapie"/>
        <w:ind w:left="170" w:hanging="170"/>
        <w:rPr>
          <w:rFonts w:ascii="Arial" w:hAnsi="Arial" w:cs="Arial"/>
        </w:rPr>
      </w:pPr>
      <w:r w:rsidRPr="006661DF">
        <w:rPr>
          <w:rStyle w:val="Refdenotaalpie"/>
          <w:rFonts w:ascii="Arial" w:hAnsi="Arial" w:cs="Arial"/>
        </w:rPr>
        <w:footnoteRef/>
      </w:r>
      <w:r w:rsidRPr="006661DF">
        <w:rPr>
          <w:rFonts w:ascii="Arial" w:hAnsi="Arial" w:cs="Arial"/>
        </w:rPr>
        <w:t xml:space="preserve"> Pérez, R., Muñoz, O. (2014). Importancia de la salud pública dirigida a la niñez y la adolescencia en México. </w:t>
      </w:r>
      <w:r w:rsidRPr="006661DF">
        <w:rPr>
          <w:rFonts w:ascii="Arial" w:hAnsi="Arial" w:cs="Arial"/>
          <w:i/>
        </w:rPr>
        <w:t>Boletín médico del Hospital Infantil de México</w:t>
      </w:r>
      <w:r w:rsidRPr="006661DF">
        <w:rPr>
          <w:rFonts w:ascii="Arial" w:hAnsi="Arial" w:cs="Arial"/>
        </w:rPr>
        <w:t>, 71(24), pp. 126-133.</w:t>
      </w:r>
    </w:p>
  </w:footnote>
  <w:footnote w:id="24">
    <w:p w14:paraId="518201B7" w14:textId="77777777" w:rsidR="0062369B" w:rsidRPr="00B6002F" w:rsidRDefault="0062369B" w:rsidP="00461D21">
      <w:pPr>
        <w:pStyle w:val="Textonotapie"/>
        <w:rPr>
          <w:rFonts w:ascii="Arial" w:hAnsi="Arial" w:cs="Arial"/>
        </w:rPr>
      </w:pPr>
      <w:r w:rsidRPr="00B6002F">
        <w:rPr>
          <w:rStyle w:val="Refdenotaalpie"/>
          <w:rFonts w:ascii="Arial" w:hAnsi="Arial" w:cs="Arial"/>
        </w:rPr>
        <w:footnoteRef/>
      </w:r>
      <w:r w:rsidRPr="00B6002F">
        <w:rPr>
          <w:rFonts w:ascii="Arial" w:hAnsi="Arial" w:cs="Arial"/>
        </w:rPr>
        <w:t xml:space="preserve"> </w:t>
      </w:r>
      <w:r w:rsidRPr="00B6002F">
        <w:rPr>
          <w:rFonts w:ascii="Arial" w:hAnsi="Arial" w:cs="Arial"/>
          <w:i/>
        </w:rPr>
        <w:t>Ibídem</w:t>
      </w:r>
      <w:r w:rsidRPr="00B6002F">
        <w:rPr>
          <w:rFonts w:ascii="Arial" w:hAnsi="Arial" w:cs="Arial"/>
        </w:rPr>
        <w:t>.</w:t>
      </w:r>
    </w:p>
  </w:footnote>
  <w:footnote w:id="25">
    <w:p w14:paraId="0388B71B" w14:textId="77777777" w:rsidR="0062369B" w:rsidRPr="006661DF" w:rsidRDefault="0062369B" w:rsidP="00461D21">
      <w:pPr>
        <w:pStyle w:val="Textonotapie"/>
        <w:rPr>
          <w:rFonts w:ascii="Arial" w:hAnsi="Arial" w:cs="Arial"/>
        </w:rPr>
      </w:pPr>
      <w:r w:rsidRPr="006661DF">
        <w:rPr>
          <w:rStyle w:val="Refdenotaalpie"/>
          <w:rFonts w:ascii="Arial" w:hAnsi="Arial" w:cs="Arial"/>
        </w:rPr>
        <w:footnoteRef/>
      </w:r>
      <w:r w:rsidRPr="006661DF">
        <w:rPr>
          <w:rFonts w:ascii="Arial" w:hAnsi="Arial" w:cs="Arial"/>
        </w:rPr>
        <w:t xml:space="preserve"> </w:t>
      </w:r>
      <w:r w:rsidRPr="006661DF">
        <w:rPr>
          <w:rFonts w:ascii="Arial" w:hAnsi="Arial" w:cs="Arial"/>
          <w:i/>
        </w:rPr>
        <w:t>Ibídem</w:t>
      </w:r>
      <w:r w:rsidRPr="006661DF">
        <w:rPr>
          <w:rFonts w:ascii="Arial" w:hAnsi="Arial" w:cs="Arial"/>
        </w:rPr>
        <w:t>.</w:t>
      </w:r>
    </w:p>
  </w:footnote>
  <w:footnote w:id="26">
    <w:p w14:paraId="2EE53052" w14:textId="77777777" w:rsidR="0062369B" w:rsidRPr="006661DF" w:rsidRDefault="0062369B" w:rsidP="00045356">
      <w:pPr>
        <w:pStyle w:val="Textonotapie"/>
        <w:ind w:left="170" w:hanging="170"/>
        <w:rPr>
          <w:rFonts w:ascii="Arial" w:hAnsi="Arial" w:cs="Arial"/>
        </w:rPr>
      </w:pPr>
      <w:r w:rsidRPr="006661DF">
        <w:rPr>
          <w:rStyle w:val="Refdenotaalpie"/>
          <w:rFonts w:ascii="Arial" w:hAnsi="Arial" w:cs="Arial"/>
        </w:rPr>
        <w:footnoteRef/>
      </w:r>
      <w:r w:rsidRPr="006661DF">
        <w:rPr>
          <w:rFonts w:ascii="Arial" w:hAnsi="Arial" w:cs="Arial"/>
        </w:rPr>
        <w:t xml:space="preserve"> SSA (s.f.). Anuario de Morbilidad de México, 1984-2017. Consultado el 14/02/2019 de http://187.191.75.115/anuario/html/morbilidad_nacional.html</w:t>
      </w:r>
    </w:p>
  </w:footnote>
  <w:footnote w:id="27">
    <w:p w14:paraId="297B8565" w14:textId="77777777" w:rsidR="0062369B" w:rsidRPr="00B6002F" w:rsidRDefault="0062369B" w:rsidP="00461D21">
      <w:pPr>
        <w:pStyle w:val="Textonotapie"/>
        <w:rPr>
          <w:rFonts w:ascii="Arial" w:hAnsi="Arial" w:cs="Arial"/>
        </w:rPr>
      </w:pPr>
      <w:r w:rsidRPr="006661DF">
        <w:rPr>
          <w:rStyle w:val="Refdenotaalpie"/>
          <w:rFonts w:ascii="Arial" w:hAnsi="Arial" w:cs="Arial"/>
        </w:rPr>
        <w:footnoteRef/>
      </w:r>
      <w:r w:rsidRPr="006661DF">
        <w:rPr>
          <w:rFonts w:ascii="Arial" w:hAnsi="Arial" w:cs="Arial"/>
        </w:rPr>
        <w:t xml:space="preserve"> </w:t>
      </w:r>
      <w:r w:rsidRPr="006661DF">
        <w:rPr>
          <w:rFonts w:ascii="Arial" w:hAnsi="Arial" w:cs="Arial"/>
          <w:i/>
        </w:rPr>
        <w:t>Ibídem</w:t>
      </w:r>
      <w:r w:rsidRPr="006661DF">
        <w:rPr>
          <w:rFonts w:ascii="Arial" w:hAnsi="Arial" w:cs="Arial"/>
        </w:rPr>
        <w:t>.</w:t>
      </w:r>
    </w:p>
  </w:footnote>
  <w:footnote w:id="28">
    <w:p w14:paraId="02B931BC" w14:textId="77777777" w:rsidR="0062369B" w:rsidRPr="00B6002F" w:rsidRDefault="0062369B" w:rsidP="00461D21">
      <w:pPr>
        <w:pStyle w:val="Textonotapie"/>
        <w:rPr>
          <w:rFonts w:ascii="Arial" w:hAnsi="Arial" w:cs="Arial"/>
        </w:rPr>
      </w:pPr>
      <w:r w:rsidRPr="00B6002F">
        <w:rPr>
          <w:rStyle w:val="Refdenotaalpie"/>
          <w:rFonts w:ascii="Arial" w:hAnsi="Arial" w:cs="Arial"/>
        </w:rPr>
        <w:footnoteRef/>
      </w:r>
      <w:r w:rsidRPr="00B6002F">
        <w:rPr>
          <w:rFonts w:ascii="Arial" w:hAnsi="Arial" w:cs="Arial"/>
        </w:rPr>
        <w:t xml:space="preserve"> </w:t>
      </w:r>
      <w:r w:rsidRPr="00B6002F">
        <w:rPr>
          <w:rFonts w:ascii="Arial" w:hAnsi="Arial" w:cs="Arial"/>
          <w:i/>
        </w:rPr>
        <w:t>Ibídem</w:t>
      </w:r>
      <w:r w:rsidRPr="00B6002F">
        <w:rPr>
          <w:rFonts w:ascii="Arial" w:hAnsi="Arial" w:cs="Arial"/>
        </w:rPr>
        <w:t>.</w:t>
      </w:r>
    </w:p>
  </w:footnote>
  <w:footnote w:id="29">
    <w:p w14:paraId="15B5BC10" w14:textId="77777777" w:rsidR="0062369B" w:rsidRPr="00B6002F" w:rsidRDefault="0062369B" w:rsidP="00461D21">
      <w:pPr>
        <w:pStyle w:val="Textonotapie"/>
        <w:rPr>
          <w:rFonts w:ascii="Arial" w:hAnsi="Arial" w:cs="Arial"/>
        </w:rPr>
      </w:pPr>
      <w:r w:rsidRPr="00B6002F">
        <w:rPr>
          <w:rStyle w:val="Refdenotaalpie"/>
          <w:rFonts w:ascii="Arial" w:hAnsi="Arial" w:cs="Arial"/>
        </w:rPr>
        <w:footnoteRef/>
      </w:r>
      <w:r w:rsidRPr="00B6002F">
        <w:rPr>
          <w:rFonts w:ascii="Arial" w:hAnsi="Arial" w:cs="Arial"/>
        </w:rPr>
        <w:t xml:space="preserve"> </w:t>
      </w:r>
      <w:r w:rsidRPr="00B6002F">
        <w:rPr>
          <w:rFonts w:ascii="Arial" w:hAnsi="Arial" w:cs="Arial"/>
          <w:i/>
        </w:rPr>
        <w:t>Ibídem</w:t>
      </w:r>
      <w:r w:rsidRPr="00B6002F">
        <w:rPr>
          <w:rFonts w:ascii="Arial" w:hAnsi="Arial" w:cs="Arial"/>
        </w:rPr>
        <w:t>.</w:t>
      </w:r>
    </w:p>
  </w:footnote>
  <w:footnote w:id="30">
    <w:p w14:paraId="77FC5F38" w14:textId="77777777" w:rsidR="0062369B" w:rsidRPr="00B6002F" w:rsidRDefault="0062369B" w:rsidP="00461D21">
      <w:pPr>
        <w:pStyle w:val="Textonotapie"/>
        <w:rPr>
          <w:rFonts w:ascii="Arial" w:hAnsi="Arial" w:cs="Arial"/>
        </w:rPr>
      </w:pPr>
      <w:r w:rsidRPr="00B6002F">
        <w:rPr>
          <w:rStyle w:val="Refdenotaalpie"/>
          <w:rFonts w:ascii="Arial" w:hAnsi="Arial" w:cs="Arial"/>
        </w:rPr>
        <w:footnoteRef/>
      </w:r>
      <w:r w:rsidRPr="00B6002F">
        <w:rPr>
          <w:rFonts w:ascii="Arial" w:hAnsi="Arial" w:cs="Arial"/>
        </w:rPr>
        <w:t xml:space="preserve"> </w:t>
      </w:r>
      <w:r w:rsidRPr="00B6002F">
        <w:rPr>
          <w:rFonts w:ascii="Arial" w:hAnsi="Arial" w:cs="Arial"/>
          <w:i/>
        </w:rPr>
        <w:t>Ibídem</w:t>
      </w:r>
      <w:r w:rsidRPr="00B6002F">
        <w:rPr>
          <w:rFonts w:ascii="Arial" w:hAnsi="Arial" w:cs="Arial"/>
        </w:rPr>
        <w:t>.</w:t>
      </w:r>
    </w:p>
  </w:footnote>
  <w:footnote w:id="31">
    <w:p w14:paraId="27DDDB09" w14:textId="77777777" w:rsidR="0062369B" w:rsidRPr="00B6002F" w:rsidRDefault="0062369B" w:rsidP="00461D21">
      <w:pPr>
        <w:pStyle w:val="Textonotapie"/>
        <w:rPr>
          <w:rFonts w:ascii="Arial" w:hAnsi="Arial" w:cs="Arial"/>
        </w:rPr>
      </w:pPr>
      <w:r w:rsidRPr="00B6002F">
        <w:rPr>
          <w:rStyle w:val="Refdenotaalpie"/>
          <w:rFonts w:ascii="Arial" w:hAnsi="Arial" w:cs="Arial"/>
        </w:rPr>
        <w:footnoteRef/>
      </w:r>
      <w:r w:rsidRPr="00B6002F">
        <w:rPr>
          <w:rFonts w:ascii="Arial" w:hAnsi="Arial" w:cs="Arial"/>
        </w:rPr>
        <w:t xml:space="preserve"> </w:t>
      </w:r>
      <w:r w:rsidRPr="00B6002F">
        <w:rPr>
          <w:rFonts w:ascii="Arial" w:hAnsi="Arial" w:cs="Arial"/>
          <w:i/>
        </w:rPr>
        <w:t>Ibídem</w:t>
      </w:r>
      <w:r w:rsidRPr="00B6002F">
        <w:rPr>
          <w:rFonts w:ascii="Arial" w:hAnsi="Arial" w:cs="Arial"/>
        </w:rPr>
        <w:t>.</w:t>
      </w:r>
    </w:p>
  </w:footnote>
  <w:footnote w:id="32">
    <w:p w14:paraId="77BF6DC8" w14:textId="77777777" w:rsidR="0062369B" w:rsidRPr="006661DF" w:rsidRDefault="0062369B" w:rsidP="000639E0">
      <w:pPr>
        <w:pStyle w:val="Textonotapie"/>
        <w:ind w:left="170" w:hanging="170"/>
        <w:rPr>
          <w:rFonts w:ascii="Arial" w:hAnsi="Arial" w:cs="Arial"/>
        </w:rPr>
      </w:pPr>
      <w:r w:rsidRPr="00B6002F">
        <w:rPr>
          <w:rStyle w:val="Refdenotaalpie"/>
          <w:rFonts w:ascii="Arial" w:hAnsi="Arial" w:cs="Arial"/>
        </w:rPr>
        <w:footnoteRef/>
      </w:r>
      <w:r w:rsidRPr="00B6002F">
        <w:rPr>
          <w:rFonts w:ascii="Arial" w:hAnsi="Arial" w:cs="Arial"/>
        </w:rPr>
        <w:t xml:space="preserve"> </w:t>
      </w:r>
      <w:r w:rsidRPr="006661DF">
        <w:rPr>
          <w:rFonts w:ascii="Arial" w:hAnsi="Arial" w:cs="Arial"/>
        </w:rPr>
        <w:t>INEGI (2019). Defunciones generales en México 2017. Consultado el 05/02/2019 de https://www.inegi.org.mx/programas/mortalidad/.</w:t>
      </w:r>
    </w:p>
  </w:footnote>
  <w:footnote w:id="33">
    <w:p w14:paraId="05E39C0D" w14:textId="77777777" w:rsidR="0062369B" w:rsidRPr="00B6002F" w:rsidRDefault="0062369B" w:rsidP="00461D21">
      <w:pPr>
        <w:pStyle w:val="Textonotapie"/>
        <w:rPr>
          <w:rFonts w:ascii="Arial" w:hAnsi="Arial" w:cs="Arial"/>
        </w:rPr>
      </w:pPr>
      <w:r w:rsidRPr="006661DF">
        <w:rPr>
          <w:rStyle w:val="Refdenotaalpie"/>
          <w:rFonts w:ascii="Arial" w:hAnsi="Arial" w:cs="Arial"/>
        </w:rPr>
        <w:footnoteRef/>
      </w:r>
      <w:r w:rsidRPr="006661DF">
        <w:rPr>
          <w:rFonts w:ascii="Arial" w:hAnsi="Arial" w:cs="Arial"/>
        </w:rPr>
        <w:t xml:space="preserve"> </w:t>
      </w:r>
      <w:r w:rsidRPr="006661DF">
        <w:rPr>
          <w:rFonts w:ascii="Arial" w:hAnsi="Arial" w:cs="Arial"/>
          <w:i/>
        </w:rPr>
        <w:t>Ibídem</w:t>
      </w:r>
      <w:r w:rsidRPr="006661DF">
        <w:rPr>
          <w:rFonts w:ascii="Arial" w:hAnsi="Arial" w:cs="Arial"/>
        </w:rPr>
        <w:t>.</w:t>
      </w:r>
    </w:p>
  </w:footnote>
  <w:footnote w:id="34">
    <w:p w14:paraId="07E66516" w14:textId="77777777" w:rsidR="0062369B" w:rsidRPr="006661DF" w:rsidRDefault="0062369B" w:rsidP="00461D21">
      <w:pPr>
        <w:pStyle w:val="Textonotapie"/>
        <w:rPr>
          <w:rFonts w:ascii="Arial" w:hAnsi="Arial" w:cs="Arial"/>
        </w:rPr>
      </w:pPr>
      <w:r w:rsidRPr="006661DF">
        <w:rPr>
          <w:rStyle w:val="Refdenotaalpie"/>
          <w:rFonts w:ascii="Arial" w:hAnsi="Arial" w:cs="Arial"/>
        </w:rPr>
        <w:footnoteRef/>
      </w:r>
      <w:r w:rsidRPr="006661DF">
        <w:rPr>
          <w:rFonts w:ascii="Arial" w:hAnsi="Arial" w:cs="Arial"/>
        </w:rPr>
        <w:t xml:space="preserve"> </w:t>
      </w:r>
      <w:r w:rsidRPr="006661DF">
        <w:rPr>
          <w:rFonts w:ascii="Arial" w:hAnsi="Arial" w:cs="Arial"/>
          <w:i/>
        </w:rPr>
        <w:t>Ibídem</w:t>
      </w:r>
      <w:r w:rsidRPr="006661DF">
        <w:rPr>
          <w:rFonts w:ascii="Arial" w:hAnsi="Arial" w:cs="Arial"/>
        </w:rPr>
        <w:t>.</w:t>
      </w:r>
    </w:p>
  </w:footnote>
  <w:footnote w:id="35">
    <w:p w14:paraId="2CC09F9C" w14:textId="77777777" w:rsidR="0062369B" w:rsidRPr="00B6002F" w:rsidRDefault="0062369B" w:rsidP="000639E0">
      <w:pPr>
        <w:pStyle w:val="Textonotapie"/>
        <w:ind w:left="170" w:hanging="170"/>
        <w:rPr>
          <w:rFonts w:ascii="Arial" w:hAnsi="Arial" w:cs="Arial"/>
        </w:rPr>
      </w:pPr>
      <w:r w:rsidRPr="006661DF">
        <w:rPr>
          <w:rStyle w:val="Refdenotaalpie"/>
          <w:rFonts w:ascii="Arial" w:hAnsi="Arial" w:cs="Arial"/>
        </w:rPr>
        <w:footnoteRef/>
      </w:r>
      <w:r w:rsidRPr="006661DF">
        <w:rPr>
          <w:rFonts w:ascii="Arial" w:hAnsi="Arial" w:cs="Arial"/>
        </w:rPr>
        <w:t xml:space="preserve"> Duarte, B., Núñez, R., Restrepo, J., Richardson, V. (2015). Determinantes sociales de la mortalidad infantil en municipios de bajo índice de desarrollo humano en México. </w:t>
      </w:r>
      <w:r w:rsidRPr="006661DF">
        <w:rPr>
          <w:rFonts w:ascii="Arial" w:hAnsi="Arial" w:cs="Arial"/>
          <w:i/>
        </w:rPr>
        <w:t>Boletín médico del Hospital Infantil de México</w:t>
      </w:r>
      <w:r w:rsidRPr="006661DF">
        <w:rPr>
          <w:rFonts w:ascii="Arial" w:hAnsi="Arial" w:cs="Arial"/>
        </w:rPr>
        <w:t>, vol. 72 (3), pp. 181-189.</w:t>
      </w:r>
    </w:p>
  </w:footnote>
  <w:footnote w:id="36">
    <w:p w14:paraId="74B7FA5C" w14:textId="77777777" w:rsidR="0062369B" w:rsidRPr="00B6002F" w:rsidRDefault="0062369B" w:rsidP="00461D21">
      <w:pPr>
        <w:pStyle w:val="Textonotapie"/>
        <w:rPr>
          <w:rFonts w:ascii="Arial" w:hAnsi="Arial" w:cs="Arial"/>
        </w:rPr>
      </w:pPr>
      <w:r w:rsidRPr="00B6002F">
        <w:rPr>
          <w:rStyle w:val="Refdenotaalpie"/>
          <w:rFonts w:ascii="Arial" w:hAnsi="Arial" w:cs="Arial"/>
        </w:rPr>
        <w:footnoteRef/>
      </w:r>
      <w:r w:rsidRPr="00B6002F">
        <w:rPr>
          <w:rFonts w:ascii="Arial" w:hAnsi="Arial" w:cs="Arial"/>
        </w:rPr>
        <w:t xml:space="preserve"> INEGI (2019), </w:t>
      </w:r>
      <w:r w:rsidRPr="00B6002F">
        <w:rPr>
          <w:rFonts w:ascii="Arial" w:hAnsi="Arial" w:cs="Arial"/>
          <w:i/>
        </w:rPr>
        <w:t>op. cit.</w:t>
      </w:r>
      <w:r w:rsidRPr="00B6002F">
        <w:rPr>
          <w:rFonts w:ascii="Arial" w:hAnsi="Arial" w:cs="Arial"/>
        </w:rPr>
        <w:t>, s.p.</w:t>
      </w:r>
    </w:p>
  </w:footnote>
  <w:footnote w:id="37">
    <w:p w14:paraId="510CA1B1" w14:textId="77777777" w:rsidR="0062369B" w:rsidRPr="00B6002F" w:rsidRDefault="0062369B" w:rsidP="000639E0">
      <w:pPr>
        <w:pStyle w:val="Textonotapie"/>
        <w:ind w:left="170" w:hanging="170"/>
        <w:rPr>
          <w:rFonts w:ascii="Arial" w:hAnsi="Arial" w:cs="Arial"/>
        </w:rPr>
      </w:pPr>
      <w:r w:rsidRPr="00B6002F">
        <w:rPr>
          <w:rStyle w:val="Refdenotaalpie"/>
          <w:rFonts w:ascii="Arial" w:hAnsi="Arial" w:cs="Arial"/>
        </w:rPr>
        <w:footnoteRef/>
      </w:r>
      <w:r w:rsidRPr="00B6002F">
        <w:rPr>
          <w:rFonts w:ascii="Arial" w:hAnsi="Arial" w:cs="Arial"/>
        </w:rPr>
        <w:t xml:space="preserve"> </w:t>
      </w:r>
      <w:r w:rsidRPr="006661DF">
        <w:rPr>
          <w:rFonts w:ascii="Arial" w:hAnsi="Arial" w:cs="Arial"/>
        </w:rPr>
        <w:t xml:space="preserve">García, C., López, M. (1995). Causas de muerte evitables y su contribución al incremento en la esperanza de vida. Una interpretación sociodemográfica. El caso de la frontera norte, 1980-1990. </w:t>
      </w:r>
      <w:r w:rsidRPr="006661DF">
        <w:rPr>
          <w:rFonts w:ascii="Arial" w:hAnsi="Arial" w:cs="Arial"/>
          <w:i/>
        </w:rPr>
        <w:t>Estudios Demográficos y Urbanos</w:t>
      </w:r>
      <w:r w:rsidRPr="006661DF">
        <w:rPr>
          <w:rFonts w:ascii="Arial" w:hAnsi="Arial" w:cs="Arial"/>
        </w:rPr>
        <w:t>, vol. 10(1), pp. 133-165.</w:t>
      </w:r>
    </w:p>
  </w:footnote>
  <w:footnote w:id="38">
    <w:p w14:paraId="6CA3F052" w14:textId="77777777" w:rsidR="0062369B" w:rsidRPr="00B6002F" w:rsidRDefault="0062369B" w:rsidP="000639E0">
      <w:pPr>
        <w:pStyle w:val="Textonotapie"/>
        <w:ind w:left="170" w:hanging="170"/>
        <w:rPr>
          <w:rFonts w:ascii="Arial" w:hAnsi="Arial" w:cs="Arial"/>
          <w:lang w:val="en-US"/>
        </w:rPr>
      </w:pPr>
      <w:r w:rsidRPr="00C874EC">
        <w:rPr>
          <w:rStyle w:val="Refdenotaalpie"/>
          <w:rFonts w:ascii="Arial" w:hAnsi="Arial" w:cs="Arial"/>
        </w:rPr>
        <w:footnoteRef/>
      </w:r>
      <w:r w:rsidRPr="00C874EC">
        <w:rPr>
          <w:rFonts w:ascii="Arial" w:hAnsi="Arial" w:cs="Arial"/>
        </w:rPr>
        <w:t xml:space="preserve"> Silva, E., Ramos, A., Olvera, K. (2018). </w:t>
      </w:r>
      <w:r w:rsidRPr="00C874EC">
        <w:rPr>
          <w:rFonts w:ascii="Arial" w:hAnsi="Arial" w:cs="Arial"/>
          <w:lang w:val="en-US"/>
        </w:rPr>
        <w:t xml:space="preserve">Inferences on mortality using Heligman-Pollard model: the Mexican case. </w:t>
      </w:r>
      <w:r w:rsidRPr="00C874EC">
        <w:rPr>
          <w:rFonts w:ascii="Arial" w:hAnsi="Arial" w:cs="Arial"/>
          <w:i/>
          <w:lang w:val="en-US"/>
        </w:rPr>
        <w:t>Communications in Statistics – Simulation and Computation</w:t>
      </w:r>
      <w:r w:rsidRPr="00C874EC">
        <w:rPr>
          <w:rFonts w:ascii="Arial" w:hAnsi="Arial" w:cs="Arial"/>
          <w:lang w:val="en-US"/>
        </w:rPr>
        <w:t>. https://doi.org/10.1080/03610918.2018.1538454</w:t>
      </w:r>
    </w:p>
  </w:footnote>
  <w:footnote w:id="39">
    <w:p w14:paraId="68475EA4" w14:textId="55F7A104" w:rsidR="0062369B" w:rsidRPr="006661DF" w:rsidRDefault="0062369B" w:rsidP="00461D21">
      <w:pPr>
        <w:pStyle w:val="Textonotapie"/>
        <w:rPr>
          <w:rFonts w:ascii="Arial" w:hAnsi="Arial" w:cs="Arial"/>
        </w:rPr>
      </w:pPr>
      <w:r w:rsidRPr="006661DF">
        <w:rPr>
          <w:rStyle w:val="Refdenotaalpie"/>
          <w:rFonts w:ascii="Arial" w:hAnsi="Arial" w:cs="Arial"/>
        </w:rPr>
        <w:footnoteRef/>
      </w:r>
      <w:r w:rsidRPr="006661DF">
        <w:rPr>
          <w:rFonts w:ascii="Arial" w:hAnsi="Arial" w:cs="Arial"/>
          <w:lang w:val="en-US"/>
        </w:rPr>
        <w:t xml:space="preserve"> Frenk, </w:t>
      </w:r>
      <w:r w:rsidRPr="006661DF">
        <w:rPr>
          <w:rFonts w:ascii="Arial" w:hAnsi="Arial" w:cs="Arial"/>
          <w:i/>
          <w:lang w:val="en-US"/>
        </w:rPr>
        <w:t>et al.</w:t>
      </w:r>
      <w:r w:rsidRPr="006661DF">
        <w:rPr>
          <w:rFonts w:ascii="Arial" w:hAnsi="Arial" w:cs="Arial"/>
          <w:lang w:val="en-US"/>
        </w:rPr>
        <w:t xml:space="preserve"> </w:t>
      </w:r>
      <w:r w:rsidRPr="006661DF">
        <w:rPr>
          <w:rFonts w:ascii="Arial" w:hAnsi="Arial" w:cs="Arial"/>
        </w:rPr>
        <w:t xml:space="preserve">(1991), </w:t>
      </w:r>
      <w:r w:rsidRPr="006661DF">
        <w:rPr>
          <w:rFonts w:ascii="Arial" w:hAnsi="Arial" w:cs="Arial"/>
          <w:i/>
        </w:rPr>
        <w:t>Op. cit.</w:t>
      </w:r>
      <w:r w:rsidRPr="006661DF">
        <w:rPr>
          <w:rFonts w:ascii="Arial" w:hAnsi="Arial" w:cs="Arial"/>
        </w:rPr>
        <w:t xml:space="preserve">, p. 487. </w:t>
      </w:r>
    </w:p>
  </w:footnote>
  <w:footnote w:id="40">
    <w:p w14:paraId="706B02A6" w14:textId="77777777" w:rsidR="0062369B" w:rsidRPr="00B6002F" w:rsidRDefault="0062369B" w:rsidP="000639E0">
      <w:pPr>
        <w:pStyle w:val="Textonotapie"/>
        <w:ind w:left="170" w:hanging="170"/>
        <w:rPr>
          <w:rFonts w:ascii="Arial" w:hAnsi="Arial" w:cs="Arial"/>
        </w:rPr>
      </w:pPr>
      <w:r w:rsidRPr="006661DF">
        <w:rPr>
          <w:rStyle w:val="Refdenotaalpie"/>
          <w:rFonts w:ascii="Arial" w:hAnsi="Arial" w:cs="Arial"/>
        </w:rPr>
        <w:footnoteRef/>
      </w:r>
      <w:r w:rsidRPr="006661DF">
        <w:rPr>
          <w:rFonts w:ascii="Arial" w:hAnsi="Arial" w:cs="Arial"/>
        </w:rPr>
        <w:t xml:space="preserve"> Heinze, G. Olmedo, V., Bazán, G., Bernard, N., Guízar, D. (2018). Los médicos especialistas en México. </w:t>
      </w:r>
      <w:r w:rsidRPr="006661DF">
        <w:rPr>
          <w:rFonts w:ascii="Arial" w:hAnsi="Arial" w:cs="Arial"/>
          <w:i/>
        </w:rPr>
        <w:t>Gaceta Médica de México</w:t>
      </w:r>
      <w:r w:rsidRPr="006661DF">
        <w:rPr>
          <w:rFonts w:ascii="Arial" w:hAnsi="Arial" w:cs="Arial"/>
        </w:rPr>
        <w:t>, vol. 154, pp. 342-351.</w:t>
      </w:r>
    </w:p>
  </w:footnote>
  <w:footnote w:id="41">
    <w:p w14:paraId="54519E54" w14:textId="77777777" w:rsidR="0062369B" w:rsidRPr="00C874EC" w:rsidRDefault="0062369B" w:rsidP="000F6F1D">
      <w:pPr>
        <w:pStyle w:val="Textonotapie"/>
        <w:rPr>
          <w:rFonts w:ascii="Arial" w:hAnsi="Arial" w:cs="Arial"/>
        </w:rPr>
      </w:pPr>
      <w:r w:rsidRPr="00B6002F">
        <w:rPr>
          <w:rStyle w:val="Refdenotaalpie"/>
          <w:rFonts w:ascii="Arial" w:hAnsi="Arial" w:cs="Arial"/>
        </w:rPr>
        <w:footnoteRef/>
      </w:r>
      <w:r w:rsidRPr="00B6002F">
        <w:rPr>
          <w:rFonts w:ascii="Arial" w:hAnsi="Arial" w:cs="Arial"/>
        </w:rPr>
        <w:t xml:space="preserve"> </w:t>
      </w:r>
      <w:r w:rsidRPr="00C874EC">
        <w:rPr>
          <w:rFonts w:ascii="Arial" w:hAnsi="Arial" w:cs="Arial"/>
        </w:rPr>
        <w:t>OCDE (2017). Health at a Glance 2017: OECD Indicators. OCDE Publicaciones: París.</w:t>
      </w:r>
    </w:p>
  </w:footnote>
  <w:footnote w:id="42">
    <w:p w14:paraId="5A33D874" w14:textId="77777777" w:rsidR="0062369B" w:rsidRPr="00B6002F" w:rsidRDefault="0062369B" w:rsidP="000F6F1D">
      <w:pPr>
        <w:pStyle w:val="Textonotapie"/>
        <w:rPr>
          <w:rFonts w:ascii="Arial" w:hAnsi="Arial" w:cs="Arial"/>
          <w:lang w:val="en-US"/>
        </w:rPr>
      </w:pPr>
      <w:r w:rsidRPr="00C874EC">
        <w:rPr>
          <w:rStyle w:val="Refdenotaalpie"/>
          <w:rFonts w:ascii="Arial" w:hAnsi="Arial" w:cs="Arial"/>
        </w:rPr>
        <w:footnoteRef/>
      </w:r>
      <w:r w:rsidRPr="00C874EC">
        <w:rPr>
          <w:rFonts w:ascii="Arial" w:hAnsi="Arial" w:cs="Arial"/>
          <w:lang w:val="en-US"/>
        </w:rPr>
        <w:t xml:space="preserve"> </w:t>
      </w:r>
      <w:r w:rsidRPr="00C874EC">
        <w:rPr>
          <w:rFonts w:ascii="Arial" w:hAnsi="Arial" w:cs="Arial"/>
          <w:i/>
          <w:lang w:val="en-US"/>
        </w:rPr>
        <w:t>Ibídem</w:t>
      </w:r>
      <w:r w:rsidRPr="00C874EC">
        <w:rPr>
          <w:rFonts w:ascii="Arial" w:hAnsi="Arial" w:cs="Arial"/>
          <w:lang w:val="en-US"/>
        </w:rPr>
        <w:t>.</w:t>
      </w:r>
    </w:p>
  </w:footnote>
  <w:footnote w:id="43">
    <w:p w14:paraId="1203AF1D" w14:textId="2F69E701" w:rsidR="0062369B" w:rsidRPr="00C874EC" w:rsidRDefault="0062369B" w:rsidP="000F6F1D">
      <w:pPr>
        <w:pStyle w:val="Textonotapie"/>
        <w:rPr>
          <w:rFonts w:ascii="Arial" w:hAnsi="Arial" w:cs="Arial"/>
          <w:lang w:val="en-US"/>
        </w:rPr>
      </w:pPr>
      <w:r w:rsidRPr="000F6F1D">
        <w:rPr>
          <w:rStyle w:val="Refdenotaalpie"/>
          <w:rFonts w:ascii="Arial" w:hAnsi="Arial" w:cs="Arial"/>
        </w:rPr>
        <w:footnoteRef/>
      </w:r>
      <w:r w:rsidRPr="000F6F1D">
        <w:rPr>
          <w:rFonts w:ascii="Arial" w:hAnsi="Arial" w:cs="Arial"/>
          <w:lang w:val="en-US"/>
        </w:rPr>
        <w:t xml:space="preserve"> </w:t>
      </w:r>
      <w:r w:rsidRPr="00C874EC">
        <w:rPr>
          <w:rFonts w:ascii="Arial" w:hAnsi="Arial" w:cs="Arial"/>
          <w:lang w:val="en-US"/>
        </w:rPr>
        <w:t xml:space="preserve">Heinze, </w:t>
      </w:r>
      <w:r w:rsidRPr="00C874EC">
        <w:rPr>
          <w:rFonts w:ascii="Arial" w:hAnsi="Arial" w:cs="Arial"/>
          <w:i/>
          <w:lang w:val="en-US"/>
        </w:rPr>
        <w:t>et al.</w:t>
      </w:r>
      <w:r w:rsidRPr="00C874EC">
        <w:rPr>
          <w:rFonts w:ascii="Arial" w:hAnsi="Arial" w:cs="Arial"/>
          <w:lang w:val="en-US"/>
        </w:rPr>
        <w:t xml:space="preserve">, </w:t>
      </w:r>
      <w:r w:rsidRPr="00C874EC">
        <w:rPr>
          <w:rFonts w:ascii="Arial" w:hAnsi="Arial" w:cs="Arial"/>
          <w:i/>
          <w:lang w:val="en-US"/>
        </w:rPr>
        <w:t>op. cit.</w:t>
      </w:r>
      <w:r w:rsidRPr="00C874EC">
        <w:rPr>
          <w:rFonts w:ascii="Arial" w:hAnsi="Arial" w:cs="Arial"/>
          <w:lang w:val="en-US"/>
        </w:rPr>
        <w:t>, p. 346.</w:t>
      </w:r>
    </w:p>
  </w:footnote>
  <w:footnote w:id="44">
    <w:p w14:paraId="32619E43" w14:textId="77777777" w:rsidR="0062369B" w:rsidRPr="00C874EC" w:rsidRDefault="0062369B" w:rsidP="000639E0">
      <w:pPr>
        <w:pStyle w:val="Textonotapie"/>
        <w:ind w:left="170" w:hanging="170"/>
        <w:rPr>
          <w:rFonts w:ascii="Arial" w:hAnsi="Arial" w:cs="Arial"/>
        </w:rPr>
      </w:pPr>
      <w:r w:rsidRPr="00C874EC">
        <w:rPr>
          <w:rStyle w:val="Refdenotaalpie"/>
          <w:rFonts w:ascii="Arial" w:hAnsi="Arial" w:cs="Arial"/>
        </w:rPr>
        <w:footnoteRef/>
      </w:r>
      <w:r w:rsidRPr="00C874EC">
        <w:rPr>
          <w:rFonts w:ascii="Arial" w:hAnsi="Arial" w:cs="Arial"/>
          <w:lang w:val="en-US"/>
        </w:rPr>
        <w:t xml:space="preserve"> SSA (2019). </w:t>
      </w:r>
      <w:r w:rsidRPr="00C874EC">
        <w:rPr>
          <w:rFonts w:ascii="Arial" w:hAnsi="Arial" w:cs="Arial"/>
          <w:i/>
        </w:rPr>
        <w:t>Recursos en Salud 2017</w:t>
      </w:r>
      <w:r w:rsidRPr="00C874EC">
        <w:rPr>
          <w:rFonts w:ascii="Arial" w:hAnsi="Arial" w:cs="Arial"/>
        </w:rPr>
        <w:t>. Consultado el 28/02/2019 de https://datos.gob.mx/busca/dataset/recursos-en-salud-nivel-central</w:t>
      </w:r>
    </w:p>
  </w:footnote>
  <w:footnote w:id="45">
    <w:p w14:paraId="6601490E" w14:textId="5C802B85" w:rsidR="0062369B" w:rsidRPr="000F6F1D" w:rsidRDefault="0062369B" w:rsidP="000639E0">
      <w:pPr>
        <w:pStyle w:val="Textonotapie"/>
        <w:ind w:left="170" w:hanging="170"/>
        <w:rPr>
          <w:rFonts w:ascii="Arial" w:hAnsi="Arial" w:cs="Arial"/>
        </w:rPr>
      </w:pPr>
      <w:r w:rsidRPr="00C874EC">
        <w:rPr>
          <w:rStyle w:val="Refdenotaalpie"/>
          <w:rFonts w:ascii="Arial" w:hAnsi="Arial" w:cs="Arial"/>
        </w:rPr>
        <w:footnoteRef/>
      </w:r>
      <w:r w:rsidRPr="00C874EC">
        <w:rPr>
          <w:rFonts w:ascii="Arial" w:hAnsi="Arial" w:cs="Arial"/>
        </w:rPr>
        <w:t xml:space="preserve"> Fajardo, G., García, S., Gonzáles, J.F. (2015) La planificación y formación de médicos especialistas en México. En </w:t>
      </w:r>
      <w:r w:rsidRPr="00C874EC">
        <w:rPr>
          <w:rFonts w:ascii="Arial" w:hAnsi="Arial" w:cs="Arial"/>
          <w:i/>
        </w:rPr>
        <w:t>La formación de médicos especialistas en México. Documento de postura</w:t>
      </w:r>
      <w:r w:rsidRPr="00C874EC">
        <w:rPr>
          <w:rFonts w:ascii="Arial" w:hAnsi="Arial" w:cs="Arial"/>
        </w:rPr>
        <w:t>. (pp. 31-42). Fajardo, G., Santacruz, J. y C. Lavalle (coords.); Academia Nacional de Medicina de México y Consejo Nacional de Ciencia y Tecnología; Ciudad de México.</w:t>
      </w:r>
    </w:p>
  </w:footnote>
  <w:footnote w:id="46">
    <w:p w14:paraId="5A5C7A52" w14:textId="77777777" w:rsidR="0062369B" w:rsidRPr="000F6F1D" w:rsidRDefault="0062369B" w:rsidP="000F6F1D">
      <w:pPr>
        <w:pStyle w:val="Textonotapie"/>
        <w:rPr>
          <w:rFonts w:ascii="Arial" w:hAnsi="Arial" w:cs="Arial"/>
          <w:lang w:val="en-US"/>
        </w:rPr>
      </w:pPr>
      <w:r w:rsidRPr="000F6F1D">
        <w:rPr>
          <w:rStyle w:val="Refdenotaalpie"/>
          <w:rFonts w:ascii="Arial" w:hAnsi="Arial" w:cs="Arial"/>
        </w:rPr>
        <w:footnoteRef/>
      </w:r>
      <w:r w:rsidRPr="000F6F1D">
        <w:rPr>
          <w:rFonts w:ascii="Arial" w:hAnsi="Arial" w:cs="Arial"/>
          <w:lang w:val="en-US"/>
        </w:rPr>
        <w:t xml:space="preserve"> SSA (s.f.), </w:t>
      </w:r>
      <w:r w:rsidRPr="000F6F1D">
        <w:rPr>
          <w:rFonts w:ascii="Arial" w:hAnsi="Arial" w:cs="Arial"/>
          <w:i/>
          <w:lang w:val="en-US"/>
        </w:rPr>
        <w:t>op. cit.</w:t>
      </w:r>
      <w:r w:rsidRPr="000F6F1D">
        <w:rPr>
          <w:rFonts w:ascii="Arial" w:hAnsi="Arial" w:cs="Arial"/>
          <w:lang w:val="en-US"/>
        </w:rPr>
        <w:t>, s.p.</w:t>
      </w:r>
    </w:p>
  </w:footnote>
  <w:footnote w:id="47">
    <w:p w14:paraId="28CD8CA2" w14:textId="77777777" w:rsidR="0062369B" w:rsidRPr="000F6F1D" w:rsidRDefault="0062369B" w:rsidP="000F6F1D">
      <w:pPr>
        <w:pStyle w:val="Textonotapie"/>
        <w:rPr>
          <w:rFonts w:ascii="Arial" w:hAnsi="Arial" w:cs="Arial"/>
          <w:lang w:val="en-US"/>
        </w:rPr>
      </w:pPr>
      <w:r w:rsidRPr="000F6F1D">
        <w:rPr>
          <w:rStyle w:val="Refdenotaalpie"/>
          <w:rFonts w:ascii="Arial" w:hAnsi="Arial" w:cs="Arial"/>
        </w:rPr>
        <w:footnoteRef/>
      </w:r>
      <w:r w:rsidRPr="000F6F1D">
        <w:rPr>
          <w:rFonts w:ascii="Arial" w:hAnsi="Arial" w:cs="Arial"/>
          <w:lang w:val="en-US"/>
        </w:rPr>
        <w:t xml:space="preserve"> SSA (2019), </w:t>
      </w:r>
      <w:r w:rsidRPr="000F6F1D">
        <w:rPr>
          <w:rFonts w:ascii="Arial" w:hAnsi="Arial" w:cs="Arial"/>
          <w:i/>
          <w:lang w:val="en-US"/>
        </w:rPr>
        <w:t>op. cit.</w:t>
      </w:r>
      <w:r w:rsidRPr="000F6F1D">
        <w:rPr>
          <w:rFonts w:ascii="Arial" w:hAnsi="Arial" w:cs="Arial"/>
          <w:lang w:val="en-US"/>
        </w:rPr>
        <w:t>, s.p.</w:t>
      </w:r>
    </w:p>
  </w:footnote>
  <w:footnote w:id="48">
    <w:p w14:paraId="7098EB74" w14:textId="77777777" w:rsidR="0062369B" w:rsidRPr="00C874EC" w:rsidRDefault="0062369B" w:rsidP="000F6F1D">
      <w:pPr>
        <w:pStyle w:val="Textonotapie"/>
        <w:rPr>
          <w:rFonts w:ascii="Arial" w:hAnsi="Arial" w:cs="Arial"/>
        </w:rPr>
      </w:pPr>
      <w:r w:rsidRPr="00C874EC">
        <w:rPr>
          <w:rStyle w:val="Refdenotaalpie"/>
          <w:rFonts w:ascii="Arial" w:hAnsi="Arial" w:cs="Arial"/>
        </w:rPr>
        <w:footnoteRef/>
      </w:r>
      <w:r w:rsidRPr="00C874EC">
        <w:rPr>
          <w:rFonts w:ascii="Arial" w:hAnsi="Arial" w:cs="Arial"/>
        </w:rPr>
        <w:t xml:space="preserve"> </w:t>
      </w:r>
      <w:r w:rsidRPr="00C874EC">
        <w:rPr>
          <w:rFonts w:ascii="Arial" w:hAnsi="Arial" w:cs="Arial"/>
          <w:i/>
        </w:rPr>
        <w:t>Ibídem</w:t>
      </w:r>
      <w:r w:rsidRPr="00C874EC">
        <w:rPr>
          <w:rFonts w:ascii="Arial" w:hAnsi="Arial" w:cs="Arial"/>
        </w:rPr>
        <w:t>.</w:t>
      </w:r>
    </w:p>
  </w:footnote>
  <w:footnote w:id="49">
    <w:p w14:paraId="358DC1B8" w14:textId="77777777" w:rsidR="0062369B" w:rsidRPr="000F6F1D" w:rsidRDefault="0062369B" w:rsidP="000639E0">
      <w:pPr>
        <w:pStyle w:val="Textonotapie"/>
        <w:ind w:left="170" w:hanging="170"/>
        <w:rPr>
          <w:rFonts w:ascii="Arial" w:hAnsi="Arial" w:cs="Arial"/>
        </w:rPr>
      </w:pPr>
      <w:r w:rsidRPr="00C874EC">
        <w:rPr>
          <w:rStyle w:val="Refdenotaalpie"/>
          <w:rFonts w:ascii="Arial" w:hAnsi="Arial" w:cs="Arial"/>
        </w:rPr>
        <w:footnoteRef/>
      </w:r>
      <w:r w:rsidRPr="00C874EC">
        <w:rPr>
          <w:rFonts w:ascii="Arial" w:hAnsi="Arial" w:cs="Arial"/>
        </w:rPr>
        <w:t xml:space="preserve"> Gónzales, L., Estrada, I., Vizzuett, R., Lima, V., Barajas, J., Martínez, H. …Gutiérrez, J. (2015). Estado actual de los neonatólogos certificados en México. </w:t>
      </w:r>
      <w:r w:rsidRPr="00C874EC">
        <w:rPr>
          <w:rFonts w:ascii="Arial" w:hAnsi="Arial" w:cs="Arial"/>
          <w:i/>
        </w:rPr>
        <w:t>Perinatología y reproducción humana</w:t>
      </w:r>
      <w:r w:rsidRPr="00C874EC">
        <w:rPr>
          <w:rFonts w:ascii="Arial" w:hAnsi="Arial" w:cs="Arial"/>
        </w:rPr>
        <w:t>, vol. 29(4), pp. 143-147.</w:t>
      </w:r>
    </w:p>
  </w:footnote>
  <w:footnote w:id="50">
    <w:p w14:paraId="1A4D7DFF" w14:textId="77777777" w:rsidR="0062369B" w:rsidRPr="000F6F1D" w:rsidRDefault="0062369B" w:rsidP="000F6F1D">
      <w:pPr>
        <w:pStyle w:val="Textonotapie"/>
        <w:jc w:val="both"/>
        <w:rPr>
          <w:rFonts w:ascii="Arial" w:hAnsi="Arial" w:cs="Arial"/>
        </w:rPr>
      </w:pPr>
      <w:r w:rsidRPr="000F6F1D">
        <w:rPr>
          <w:rStyle w:val="Refdenotaalpie"/>
          <w:rFonts w:ascii="Arial" w:hAnsi="Arial" w:cs="Arial"/>
        </w:rPr>
        <w:footnoteRef/>
      </w:r>
      <w:r w:rsidRPr="000F6F1D">
        <w:rPr>
          <w:rFonts w:ascii="Arial" w:hAnsi="Arial" w:cs="Arial"/>
        </w:rPr>
        <w:t xml:space="preserve"> </w:t>
      </w:r>
      <w:r w:rsidRPr="000F6F1D">
        <w:rPr>
          <w:rFonts w:ascii="Arial" w:hAnsi="Arial" w:cs="Arial"/>
          <w:i/>
        </w:rPr>
        <w:t>Ibídem</w:t>
      </w:r>
      <w:r w:rsidRPr="000F6F1D">
        <w:rPr>
          <w:rFonts w:ascii="Arial" w:hAnsi="Arial" w:cs="Arial"/>
        </w:rPr>
        <w:t>.</w:t>
      </w:r>
    </w:p>
  </w:footnote>
  <w:footnote w:id="51">
    <w:p w14:paraId="29E7646C" w14:textId="77777777" w:rsidR="0062369B" w:rsidRPr="00C874EC" w:rsidRDefault="0062369B" w:rsidP="000F6F1D">
      <w:pPr>
        <w:pStyle w:val="Textonotapie"/>
        <w:rPr>
          <w:rFonts w:ascii="Arial" w:hAnsi="Arial" w:cs="Arial"/>
        </w:rPr>
      </w:pPr>
      <w:r w:rsidRPr="00C874EC">
        <w:rPr>
          <w:rStyle w:val="Refdenotaalpie"/>
          <w:rFonts w:ascii="Arial" w:hAnsi="Arial" w:cs="Arial"/>
        </w:rPr>
        <w:footnoteRef/>
      </w:r>
      <w:r w:rsidRPr="00C874EC">
        <w:rPr>
          <w:rFonts w:ascii="Arial" w:hAnsi="Arial" w:cs="Arial"/>
        </w:rPr>
        <w:t xml:space="preserve"> </w:t>
      </w:r>
      <w:r w:rsidRPr="00C874EC">
        <w:rPr>
          <w:rFonts w:ascii="Arial" w:hAnsi="Arial" w:cs="Arial"/>
          <w:i/>
        </w:rPr>
        <w:t>Ibídem</w:t>
      </w:r>
      <w:r w:rsidRPr="00C874EC">
        <w:rPr>
          <w:rFonts w:ascii="Arial" w:hAnsi="Arial" w:cs="Arial"/>
        </w:rPr>
        <w:t>.</w:t>
      </w:r>
    </w:p>
  </w:footnote>
  <w:footnote w:id="52">
    <w:p w14:paraId="2D045356" w14:textId="77777777" w:rsidR="0062369B" w:rsidRPr="00C874EC" w:rsidRDefault="0062369B" w:rsidP="000639E0">
      <w:pPr>
        <w:pStyle w:val="Textonotapie"/>
        <w:ind w:left="170" w:hanging="170"/>
        <w:rPr>
          <w:rFonts w:ascii="Arial" w:hAnsi="Arial" w:cs="Arial"/>
        </w:rPr>
      </w:pPr>
      <w:r w:rsidRPr="00C874EC">
        <w:rPr>
          <w:rStyle w:val="Refdenotaalpie"/>
          <w:rFonts w:ascii="Arial" w:hAnsi="Arial" w:cs="Arial"/>
        </w:rPr>
        <w:footnoteRef/>
      </w:r>
      <w:r w:rsidRPr="00C874EC">
        <w:rPr>
          <w:rFonts w:ascii="Arial" w:hAnsi="Arial" w:cs="Arial"/>
        </w:rPr>
        <w:t xml:space="preserve"> SSA (s.f. a) Registro de egresos hospitalarios 2017. Consultado el 14/02/2019 de http://www.dgis.salud.gob.mx/contenidos/basesdedatos/da_egresoshosp_gobmx.html</w:t>
      </w:r>
    </w:p>
  </w:footnote>
  <w:footnote w:id="53">
    <w:p w14:paraId="19FDC464" w14:textId="77777777" w:rsidR="0062369B" w:rsidRPr="000F6F1D" w:rsidRDefault="0062369B" w:rsidP="000F6F1D">
      <w:pPr>
        <w:pStyle w:val="Textonotapie"/>
        <w:rPr>
          <w:rFonts w:ascii="Arial" w:hAnsi="Arial" w:cs="Arial"/>
          <w:lang w:val="en-US"/>
        </w:rPr>
      </w:pPr>
      <w:r w:rsidRPr="00C874EC">
        <w:rPr>
          <w:rStyle w:val="Refdenotaalpie"/>
          <w:rFonts w:ascii="Arial" w:hAnsi="Arial" w:cs="Arial"/>
        </w:rPr>
        <w:footnoteRef/>
      </w:r>
      <w:r w:rsidRPr="00C874EC">
        <w:rPr>
          <w:rFonts w:ascii="Arial" w:hAnsi="Arial" w:cs="Arial"/>
          <w:lang w:val="en-US"/>
        </w:rPr>
        <w:t xml:space="preserve"> CONAPO (2018), </w:t>
      </w:r>
      <w:r w:rsidRPr="00C874EC">
        <w:rPr>
          <w:rFonts w:ascii="Arial" w:hAnsi="Arial" w:cs="Arial"/>
          <w:i/>
          <w:lang w:val="en-US"/>
        </w:rPr>
        <w:t>op. cit.</w:t>
      </w:r>
      <w:r w:rsidRPr="00C874EC">
        <w:rPr>
          <w:rFonts w:ascii="Arial" w:hAnsi="Arial" w:cs="Arial"/>
          <w:lang w:val="en-US"/>
        </w:rPr>
        <w:t>, s.p.</w:t>
      </w:r>
    </w:p>
  </w:footnote>
  <w:footnote w:id="54">
    <w:p w14:paraId="3763E202" w14:textId="03B14286" w:rsidR="0062369B" w:rsidRPr="000F6F1D" w:rsidRDefault="0062369B" w:rsidP="000639E0">
      <w:pPr>
        <w:pStyle w:val="Textonotapie"/>
        <w:ind w:left="170" w:hanging="170"/>
        <w:rPr>
          <w:rFonts w:ascii="Arial" w:hAnsi="Arial" w:cs="Arial"/>
        </w:rPr>
      </w:pPr>
      <w:r w:rsidRPr="000F6F1D">
        <w:rPr>
          <w:rStyle w:val="Refdenotaalpie"/>
          <w:rFonts w:ascii="Arial" w:hAnsi="Arial" w:cs="Arial"/>
        </w:rPr>
        <w:footnoteRef/>
      </w:r>
      <w:r w:rsidRPr="000F6F1D">
        <w:rPr>
          <w:rFonts w:ascii="Arial" w:hAnsi="Arial" w:cs="Arial"/>
        </w:rPr>
        <w:t xml:space="preserve"> </w:t>
      </w:r>
      <w:r w:rsidRPr="00C874EC">
        <w:rPr>
          <w:rFonts w:ascii="Arial" w:hAnsi="Arial" w:cs="Arial"/>
        </w:rPr>
        <w:t xml:space="preserve">Fajardo, G. (2015). Propuesta de modelo para la formación de médicos especialistas en México. En </w:t>
      </w:r>
      <w:r w:rsidRPr="00C874EC">
        <w:rPr>
          <w:rFonts w:ascii="Arial" w:hAnsi="Arial" w:cs="Arial"/>
          <w:i/>
        </w:rPr>
        <w:t>La formación de médicos especialistas en México. Documento de postura</w:t>
      </w:r>
      <w:r w:rsidRPr="00C874EC">
        <w:rPr>
          <w:rFonts w:ascii="Arial" w:hAnsi="Arial" w:cs="Arial"/>
        </w:rPr>
        <w:t>. (pp. 187-201). Fajardo, G., Santacruz, J. y C. Lavalle (coords.); Academia Nacional de Medicina de México y Consejo Nacional de Ciencia y Tecnología; Ciudad de México.</w:t>
      </w:r>
    </w:p>
  </w:footnote>
  <w:footnote w:id="55">
    <w:p w14:paraId="0DE22A9D" w14:textId="687BC70C" w:rsidR="0062369B" w:rsidRPr="00C874EC" w:rsidRDefault="0062369B" w:rsidP="000F6F1D">
      <w:pPr>
        <w:pStyle w:val="Textonotapie"/>
        <w:rPr>
          <w:rFonts w:ascii="Arial" w:hAnsi="Arial" w:cs="Arial"/>
        </w:rPr>
      </w:pPr>
      <w:r w:rsidRPr="000F6F1D">
        <w:rPr>
          <w:rStyle w:val="Refdenotaalpie"/>
          <w:rFonts w:ascii="Arial" w:hAnsi="Arial" w:cs="Arial"/>
        </w:rPr>
        <w:footnoteRef/>
      </w:r>
      <w:r w:rsidRPr="000F6F1D">
        <w:rPr>
          <w:rFonts w:ascii="Arial" w:hAnsi="Arial" w:cs="Arial"/>
        </w:rPr>
        <w:t xml:space="preserve"> </w:t>
      </w:r>
      <w:r w:rsidRPr="00C874EC">
        <w:rPr>
          <w:rFonts w:ascii="Arial" w:hAnsi="Arial" w:cs="Arial"/>
        </w:rPr>
        <w:t xml:space="preserve">Heinze, </w:t>
      </w:r>
      <w:r w:rsidRPr="00C874EC">
        <w:rPr>
          <w:rFonts w:ascii="Arial" w:hAnsi="Arial" w:cs="Arial"/>
          <w:i/>
        </w:rPr>
        <w:t>et al.</w:t>
      </w:r>
      <w:r w:rsidRPr="00C874EC">
        <w:rPr>
          <w:rFonts w:ascii="Arial" w:hAnsi="Arial" w:cs="Arial"/>
        </w:rPr>
        <w:t xml:space="preserve">, </w:t>
      </w:r>
      <w:r w:rsidRPr="00C874EC">
        <w:rPr>
          <w:rFonts w:ascii="Arial" w:hAnsi="Arial" w:cs="Arial"/>
          <w:i/>
        </w:rPr>
        <w:t>op. cit.</w:t>
      </w:r>
      <w:r w:rsidRPr="00C874EC">
        <w:rPr>
          <w:rFonts w:ascii="Arial" w:hAnsi="Arial" w:cs="Arial"/>
        </w:rPr>
        <w:t>, p. 348.</w:t>
      </w:r>
    </w:p>
  </w:footnote>
  <w:footnote w:id="56">
    <w:p w14:paraId="3889923E" w14:textId="6584EBC7" w:rsidR="0062369B" w:rsidRPr="00C874EC" w:rsidRDefault="0062369B" w:rsidP="000639E0">
      <w:pPr>
        <w:pStyle w:val="Textonotapie"/>
        <w:ind w:left="170" w:hanging="170"/>
        <w:rPr>
          <w:rFonts w:ascii="Arial" w:hAnsi="Arial" w:cs="Arial"/>
        </w:rPr>
      </w:pPr>
      <w:r w:rsidRPr="00C874EC">
        <w:rPr>
          <w:rStyle w:val="Refdenotaalpie"/>
          <w:rFonts w:ascii="Arial" w:hAnsi="Arial" w:cs="Arial"/>
        </w:rPr>
        <w:footnoteRef/>
      </w:r>
      <w:r w:rsidRPr="00C874EC">
        <w:rPr>
          <w:rFonts w:ascii="Arial" w:hAnsi="Arial" w:cs="Arial"/>
        </w:rPr>
        <w:t xml:space="preserve"> Santacruz, J., Fajardo, G., Hernández, F., Real, T. (2015). Metodología para estimar el número de médicos especialistas en México. En </w:t>
      </w:r>
      <w:r w:rsidRPr="00C874EC">
        <w:rPr>
          <w:rFonts w:ascii="Arial" w:hAnsi="Arial" w:cs="Arial"/>
          <w:i/>
        </w:rPr>
        <w:t>La formación de médicos especialistas en México. Documento de postura</w:t>
      </w:r>
      <w:r w:rsidRPr="00C874EC">
        <w:rPr>
          <w:rFonts w:ascii="Arial" w:hAnsi="Arial" w:cs="Arial"/>
        </w:rPr>
        <w:t>. (pp. 71-152). Fajardo, G., Santacruz, J. y C. Lavalle (coords.); Academia Nacional de Medicina de México y Consejo Nacional de Ciencia y Tecnología; Ciudad de México.</w:t>
      </w:r>
    </w:p>
  </w:footnote>
  <w:footnote w:id="57">
    <w:p w14:paraId="10BC19C3" w14:textId="614BD73B" w:rsidR="0062369B" w:rsidRPr="00C874EC" w:rsidRDefault="0062369B" w:rsidP="000639E0">
      <w:pPr>
        <w:pStyle w:val="Textonotapie"/>
        <w:ind w:left="170" w:hanging="170"/>
        <w:rPr>
          <w:rFonts w:ascii="Arial" w:hAnsi="Arial" w:cs="Arial"/>
        </w:rPr>
      </w:pPr>
      <w:r w:rsidRPr="00C874EC">
        <w:rPr>
          <w:rStyle w:val="Refdenotaalpie"/>
          <w:rFonts w:ascii="Arial" w:hAnsi="Arial" w:cs="Arial"/>
        </w:rPr>
        <w:footnoteRef/>
      </w:r>
      <w:r w:rsidRPr="00C874EC">
        <w:rPr>
          <w:rFonts w:ascii="Arial" w:hAnsi="Arial" w:cs="Arial"/>
          <w:lang w:val="en-US"/>
        </w:rPr>
        <w:t xml:space="preserve"> Meara, J., Leather, A., Hagander, L., Akire, B., Alonso, N., Ameh, E. Yip, W. (2015). Global Surgery 2030: evidence and solutions for achieving healt, welfare, and economic development. </w:t>
      </w:r>
      <w:r w:rsidRPr="00C874EC">
        <w:rPr>
          <w:rFonts w:ascii="Arial" w:hAnsi="Arial" w:cs="Arial"/>
          <w:i/>
        </w:rPr>
        <w:t>The Lancet</w:t>
      </w:r>
      <w:r w:rsidRPr="00C874EC">
        <w:rPr>
          <w:rFonts w:ascii="Arial" w:hAnsi="Arial" w:cs="Arial"/>
        </w:rPr>
        <w:t>, vol. 386 (9993), pp. 569-624.</w:t>
      </w:r>
    </w:p>
  </w:footnote>
  <w:footnote w:id="58">
    <w:p w14:paraId="5A8EDCF6" w14:textId="2A3352C9" w:rsidR="0062369B" w:rsidRPr="00C874EC" w:rsidRDefault="0062369B" w:rsidP="000F6F1D">
      <w:pPr>
        <w:pStyle w:val="Textonotapie"/>
        <w:rPr>
          <w:rFonts w:ascii="Arial" w:hAnsi="Arial" w:cs="Arial"/>
        </w:rPr>
      </w:pPr>
      <w:r w:rsidRPr="00C874EC">
        <w:rPr>
          <w:rStyle w:val="Refdenotaalpie"/>
          <w:rFonts w:ascii="Arial" w:hAnsi="Arial" w:cs="Arial"/>
        </w:rPr>
        <w:footnoteRef/>
      </w:r>
      <w:r w:rsidRPr="00C874EC">
        <w:rPr>
          <w:rFonts w:ascii="Arial" w:hAnsi="Arial" w:cs="Arial"/>
        </w:rPr>
        <w:t xml:space="preserve"> Gonzáles, </w:t>
      </w:r>
      <w:r w:rsidRPr="00C874EC">
        <w:rPr>
          <w:rFonts w:ascii="Arial" w:hAnsi="Arial" w:cs="Arial"/>
          <w:i/>
        </w:rPr>
        <w:t>et al.</w:t>
      </w:r>
      <w:r w:rsidRPr="00C874EC">
        <w:rPr>
          <w:rFonts w:ascii="Arial" w:hAnsi="Arial" w:cs="Arial"/>
        </w:rPr>
        <w:t xml:space="preserve"> (2015), </w:t>
      </w:r>
      <w:r w:rsidRPr="00C874EC">
        <w:rPr>
          <w:rFonts w:ascii="Arial" w:hAnsi="Arial" w:cs="Arial"/>
          <w:i/>
        </w:rPr>
        <w:t>op. cit.</w:t>
      </w:r>
      <w:r w:rsidRPr="00C874EC">
        <w:rPr>
          <w:rFonts w:ascii="Arial" w:hAnsi="Arial" w:cs="Arial"/>
        </w:rPr>
        <w:t>, p. 147.</w:t>
      </w:r>
    </w:p>
  </w:footnote>
  <w:footnote w:id="59">
    <w:p w14:paraId="1186EDD7" w14:textId="77777777" w:rsidR="0062369B" w:rsidRPr="00DB4EE3" w:rsidRDefault="0062369B" w:rsidP="00DB4EE3">
      <w:pPr>
        <w:pStyle w:val="Textonotapie"/>
        <w:ind w:left="142" w:hanging="142"/>
      </w:pPr>
      <w:r w:rsidRPr="00C874EC">
        <w:rPr>
          <w:rStyle w:val="Refdenotaalpie"/>
        </w:rPr>
        <w:footnoteRef/>
      </w:r>
      <w:r w:rsidRPr="00C874EC">
        <w:t xml:space="preserve"> </w:t>
      </w:r>
      <w:r w:rsidRPr="00C874EC">
        <w:rPr>
          <w:rFonts w:ascii="Arial" w:hAnsi="Arial" w:cs="Arial"/>
          <w:spacing w:val="-4"/>
        </w:rPr>
        <w:t>Reformado mediante decreto publicado en el Diario Oficial de la Federación el 29 de enero de 2016.</w:t>
      </w:r>
    </w:p>
  </w:footnote>
  <w:footnote w:id="60">
    <w:p w14:paraId="005F1C13" w14:textId="67F9804C" w:rsidR="0062369B" w:rsidRPr="00C874EC" w:rsidRDefault="0062369B" w:rsidP="00DB4EE3">
      <w:pPr>
        <w:pStyle w:val="Textonotapie"/>
        <w:ind w:left="142" w:hanging="142"/>
      </w:pPr>
      <w:r w:rsidRPr="00C874EC">
        <w:rPr>
          <w:rStyle w:val="Refdenotaalpie"/>
        </w:rPr>
        <w:footnoteRef/>
      </w:r>
      <w:r w:rsidRPr="00C874EC">
        <w:t xml:space="preserve"> </w:t>
      </w:r>
      <w:r w:rsidRPr="00C874EC">
        <w:rPr>
          <w:rFonts w:ascii="Arial" w:hAnsi="Arial" w:cs="Arial"/>
          <w:spacing w:val="-4"/>
        </w:rPr>
        <w:t>Reformado mediante decreto publicado en el Diario Oficial de la Federación el 10 de junio del 2011</w:t>
      </w:r>
      <w:r w:rsidRPr="00C874EC">
        <w:rPr>
          <w:rFonts w:ascii="Arial" w:hAnsi="Arial" w:cs="Arial"/>
        </w:rPr>
        <w:t>.</w:t>
      </w:r>
    </w:p>
  </w:footnote>
  <w:footnote w:id="61">
    <w:p w14:paraId="5BC4C141" w14:textId="77777777" w:rsidR="0062369B" w:rsidRPr="00C874EC" w:rsidRDefault="0062369B" w:rsidP="00DB4EE3">
      <w:pPr>
        <w:pStyle w:val="Textonotapie"/>
        <w:ind w:left="142" w:hanging="142"/>
        <w:rPr>
          <w:rFonts w:ascii="Arial" w:hAnsi="Arial" w:cs="Arial"/>
        </w:rPr>
      </w:pPr>
      <w:r w:rsidRPr="00C874EC">
        <w:rPr>
          <w:rStyle w:val="Refdenotaalpie"/>
          <w:rFonts w:ascii="Arial" w:hAnsi="Arial" w:cs="Arial"/>
        </w:rPr>
        <w:footnoteRef/>
      </w:r>
      <w:r w:rsidRPr="00C874EC">
        <w:rPr>
          <w:rFonts w:ascii="Arial" w:hAnsi="Arial" w:cs="Arial"/>
        </w:rPr>
        <w:t xml:space="preserve"> </w:t>
      </w:r>
      <w:r w:rsidRPr="00C874EC">
        <w:rPr>
          <w:rFonts w:ascii="Arial" w:hAnsi="Arial" w:cs="Arial"/>
          <w:spacing w:val="-4"/>
        </w:rPr>
        <w:t>Reformado mediante decreto publicado por el Diario Oficial de la Federación el 5 de marzo de 1993.</w:t>
      </w:r>
    </w:p>
  </w:footnote>
  <w:footnote w:id="62">
    <w:p w14:paraId="2636D397" w14:textId="77777777" w:rsidR="0062369B" w:rsidRPr="00C874EC" w:rsidRDefault="0062369B" w:rsidP="00CE6011">
      <w:pPr>
        <w:pStyle w:val="Textonotapie"/>
        <w:rPr>
          <w:rFonts w:ascii="Arial" w:hAnsi="Arial" w:cs="Arial"/>
        </w:rPr>
      </w:pPr>
      <w:r w:rsidRPr="00C874EC">
        <w:rPr>
          <w:rStyle w:val="Refdenotaalpie"/>
          <w:rFonts w:ascii="Arial" w:hAnsi="Arial" w:cs="Arial"/>
        </w:rPr>
        <w:footnoteRef/>
      </w:r>
      <w:r w:rsidRPr="00C874EC">
        <w:rPr>
          <w:rFonts w:ascii="Arial" w:hAnsi="Arial" w:cs="Arial"/>
        </w:rPr>
        <w:t xml:space="preserve"> </w:t>
      </w:r>
      <w:r w:rsidRPr="00C874EC">
        <w:rPr>
          <w:rFonts w:ascii="Arial" w:hAnsi="Arial" w:cs="Arial"/>
          <w:i/>
        </w:rPr>
        <w:t>Ídem</w:t>
      </w:r>
      <w:r w:rsidRPr="00C874EC">
        <w:rPr>
          <w:rFonts w:ascii="Arial" w:hAnsi="Arial" w:cs="Arial"/>
        </w:rPr>
        <w:t xml:space="preserve">. </w:t>
      </w:r>
    </w:p>
  </w:footnote>
  <w:footnote w:id="63">
    <w:p w14:paraId="2060006E" w14:textId="77777777" w:rsidR="0062369B" w:rsidRPr="00C874EC" w:rsidRDefault="0062369B" w:rsidP="00DB4EE3">
      <w:pPr>
        <w:pStyle w:val="Textonotapie"/>
        <w:ind w:left="142" w:hanging="142"/>
        <w:rPr>
          <w:rFonts w:ascii="Arial" w:hAnsi="Arial" w:cs="Arial"/>
        </w:rPr>
      </w:pPr>
      <w:r w:rsidRPr="00C874EC">
        <w:rPr>
          <w:rStyle w:val="Refdenotaalpie"/>
          <w:rFonts w:ascii="Arial" w:hAnsi="Arial" w:cs="Arial"/>
        </w:rPr>
        <w:footnoteRef/>
      </w:r>
      <w:r w:rsidRPr="00C874EC">
        <w:rPr>
          <w:rFonts w:ascii="Arial" w:hAnsi="Arial" w:cs="Arial"/>
        </w:rPr>
        <w:t xml:space="preserve"> </w:t>
      </w:r>
      <w:r w:rsidRPr="00C874EC">
        <w:rPr>
          <w:rFonts w:ascii="Arial" w:hAnsi="Arial" w:cs="Arial"/>
          <w:spacing w:val="-4"/>
        </w:rPr>
        <w:t>Reformado mediante decreto publicado por el Diario Oficial de la Federación el 9 de febrero del 2012.</w:t>
      </w:r>
    </w:p>
  </w:footnote>
  <w:footnote w:id="64">
    <w:p w14:paraId="1DFD34C2" w14:textId="77777777" w:rsidR="0062369B" w:rsidRPr="00DB4EE3" w:rsidRDefault="0062369B" w:rsidP="00DB4EE3">
      <w:pPr>
        <w:pStyle w:val="Textonotapie"/>
        <w:ind w:left="142" w:hanging="142"/>
        <w:rPr>
          <w:rFonts w:ascii="Arial" w:hAnsi="Arial" w:cs="Arial"/>
        </w:rPr>
      </w:pPr>
      <w:r w:rsidRPr="00C874EC">
        <w:rPr>
          <w:rStyle w:val="Refdenotaalpie"/>
          <w:rFonts w:ascii="Arial" w:hAnsi="Arial" w:cs="Arial"/>
        </w:rPr>
        <w:footnoteRef/>
      </w:r>
      <w:r w:rsidRPr="00C874EC">
        <w:rPr>
          <w:rFonts w:ascii="Arial" w:hAnsi="Arial" w:cs="Arial"/>
        </w:rPr>
        <w:t xml:space="preserve"> </w:t>
      </w:r>
      <w:r w:rsidRPr="00C874EC">
        <w:rPr>
          <w:rFonts w:ascii="Arial" w:hAnsi="Arial" w:cs="Arial"/>
          <w:spacing w:val="-8"/>
        </w:rPr>
        <w:t>Reformado mediante decreto publicado por el Diario Oficial de la Federación el 12 de noviembre del 2002.</w:t>
      </w:r>
    </w:p>
  </w:footnote>
  <w:footnote w:id="65">
    <w:p w14:paraId="15DDC42E" w14:textId="77777777" w:rsidR="0062369B" w:rsidRPr="00C874EC" w:rsidRDefault="0062369B" w:rsidP="00DB4EE3">
      <w:pPr>
        <w:pStyle w:val="Textonotapie"/>
        <w:ind w:left="142" w:hanging="142"/>
        <w:rPr>
          <w:rFonts w:ascii="Arial" w:hAnsi="Arial" w:cs="Arial"/>
        </w:rPr>
      </w:pPr>
      <w:r w:rsidRPr="00C874EC">
        <w:rPr>
          <w:rStyle w:val="Refdenotaalpie"/>
          <w:rFonts w:ascii="Arial" w:hAnsi="Arial" w:cs="Arial"/>
        </w:rPr>
        <w:footnoteRef/>
      </w:r>
      <w:r w:rsidRPr="00C874EC">
        <w:rPr>
          <w:rFonts w:ascii="Arial" w:hAnsi="Arial" w:cs="Arial"/>
        </w:rPr>
        <w:t xml:space="preserve"> </w:t>
      </w:r>
      <w:r w:rsidRPr="00C874EC">
        <w:rPr>
          <w:rFonts w:ascii="Arial" w:hAnsi="Arial" w:cs="Arial"/>
          <w:spacing w:val="-4"/>
        </w:rPr>
        <w:t>Reformado mediante decreto publicado por el Diario Oficial de la Federación el 5 de marzo de 1993.</w:t>
      </w:r>
    </w:p>
  </w:footnote>
  <w:footnote w:id="66">
    <w:p w14:paraId="77BBDA0C" w14:textId="77777777" w:rsidR="0062369B" w:rsidRPr="00C874EC" w:rsidRDefault="0062369B" w:rsidP="00DB4EE3">
      <w:pPr>
        <w:pStyle w:val="Textonotapie"/>
        <w:ind w:left="142" w:hanging="142"/>
        <w:rPr>
          <w:rFonts w:ascii="Arial" w:hAnsi="Arial" w:cs="Arial"/>
        </w:rPr>
      </w:pPr>
      <w:r w:rsidRPr="00C874EC">
        <w:rPr>
          <w:rStyle w:val="Refdenotaalpie"/>
          <w:rFonts w:ascii="Arial" w:hAnsi="Arial" w:cs="Arial"/>
        </w:rPr>
        <w:footnoteRef/>
      </w:r>
      <w:r w:rsidRPr="00C874EC">
        <w:rPr>
          <w:rFonts w:ascii="Arial" w:hAnsi="Arial" w:cs="Arial"/>
        </w:rPr>
        <w:t xml:space="preserve"> </w:t>
      </w:r>
      <w:r w:rsidRPr="00C874EC">
        <w:rPr>
          <w:rFonts w:ascii="Arial" w:hAnsi="Arial" w:cs="Arial"/>
          <w:spacing w:val="-4"/>
        </w:rPr>
        <w:t>Reformado mediante decreto publicado por el Diario Oficial de la Federación el 9 de febrero de 2012</w:t>
      </w:r>
      <w:r w:rsidRPr="00C874EC">
        <w:rPr>
          <w:rFonts w:ascii="Arial" w:hAnsi="Arial" w:cs="Arial"/>
        </w:rPr>
        <w:t>.</w:t>
      </w:r>
    </w:p>
  </w:footnote>
  <w:footnote w:id="67">
    <w:p w14:paraId="7CA8E72E" w14:textId="77777777" w:rsidR="0062369B" w:rsidRPr="00DB4EE3" w:rsidRDefault="0062369B" w:rsidP="00DB4EE3">
      <w:pPr>
        <w:pStyle w:val="Textonotapie"/>
        <w:ind w:left="142" w:hanging="142"/>
        <w:rPr>
          <w:rFonts w:ascii="Arial" w:hAnsi="Arial" w:cs="Arial"/>
        </w:rPr>
      </w:pPr>
      <w:r w:rsidRPr="00C874EC">
        <w:rPr>
          <w:rStyle w:val="Refdenotaalpie"/>
          <w:rFonts w:ascii="Arial" w:hAnsi="Arial" w:cs="Arial"/>
        </w:rPr>
        <w:footnoteRef/>
      </w:r>
      <w:r w:rsidRPr="00C874EC">
        <w:rPr>
          <w:rFonts w:ascii="Arial" w:hAnsi="Arial" w:cs="Arial"/>
        </w:rPr>
        <w:t xml:space="preserve"> </w:t>
      </w:r>
      <w:r w:rsidRPr="00C874EC">
        <w:rPr>
          <w:rFonts w:ascii="Arial" w:hAnsi="Arial" w:cs="Arial"/>
          <w:spacing w:val="-6"/>
        </w:rPr>
        <w:t>Reformado mediante decreto publicado por el Diario Oficial de la Federación el 26 de febrero de 2013.</w:t>
      </w:r>
    </w:p>
  </w:footnote>
  <w:footnote w:id="68">
    <w:p w14:paraId="76B9D468" w14:textId="77777777" w:rsidR="0062369B" w:rsidRPr="00C874EC" w:rsidRDefault="0062369B" w:rsidP="00CE6011">
      <w:pPr>
        <w:pStyle w:val="Textonotapie"/>
        <w:rPr>
          <w:rFonts w:ascii="Arial" w:hAnsi="Arial" w:cs="Arial"/>
        </w:rPr>
      </w:pPr>
      <w:r w:rsidRPr="00C874EC">
        <w:rPr>
          <w:rStyle w:val="Refdenotaalpie"/>
          <w:rFonts w:ascii="Arial" w:hAnsi="Arial" w:cs="Arial"/>
        </w:rPr>
        <w:footnoteRef/>
      </w:r>
      <w:r w:rsidRPr="00C874EC">
        <w:rPr>
          <w:rFonts w:ascii="Arial" w:hAnsi="Arial" w:cs="Arial"/>
        </w:rPr>
        <w:t xml:space="preserve"> </w:t>
      </w:r>
      <w:r w:rsidRPr="00C874EC">
        <w:rPr>
          <w:rFonts w:ascii="Arial" w:hAnsi="Arial" w:cs="Arial"/>
          <w:i/>
        </w:rPr>
        <w:t>Ídem</w:t>
      </w:r>
      <w:r w:rsidRPr="00C874EC">
        <w:rPr>
          <w:rFonts w:ascii="Arial" w:hAnsi="Arial" w:cs="Arial"/>
        </w:rPr>
        <w:t>.</w:t>
      </w:r>
    </w:p>
  </w:footnote>
  <w:footnote w:id="69">
    <w:p w14:paraId="52168DFF" w14:textId="77777777" w:rsidR="0062369B" w:rsidRPr="00C874EC" w:rsidRDefault="0062369B" w:rsidP="00DB4EE3">
      <w:pPr>
        <w:pStyle w:val="Textonotapie"/>
        <w:ind w:left="142" w:hanging="142"/>
        <w:rPr>
          <w:rFonts w:ascii="Arial" w:hAnsi="Arial" w:cs="Arial"/>
        </w:rPr>
      </w:pPr>
      <w:r w:rsidRPr="00C874EC">
        <w:rPr>
          <w:rStyle w:val="Refdenotaalpie"/>
          <w:rFonts w:ascii="Arial" w:hAnsi="Arial" w:cs="Arial"/>
        </w:rPr>
        <w:footnoteRef/>
      </w:r>
      <w:r w:rsidRPr="00C874EC">
        <w:rPr>
          <w:rFonts w:ascii="Arial" w:hAnsi="Arial" w:cs="Arial"/>
        </w:rPr>
        <w:t xml:space="preserve"> </w:t>
      </w:r>
      <w:r w:rsidRPr="00C874EC">
        <w:rPr>
          <w:rFonts w:ascii="Arial" w:hAnsi="Arial" w:cs="Arial"/>
          <w:spacing w:val="-4"/>
        </w:rPr>
        <w:t>Párrafo adicionado decreto publicado por el Diario Oficial de la Federación el 13 de octubre de 2011.</w:t>
      </w:r>
    </w:p>
  </w:footnote>
  <w:footnote w:id="70">
    <w:p w14:paraId="46523EFC" w14:textId="77777777" w:rsidR="0062369B" w:rsidRPr="00C874EC" w:rsidRDefault="0062369B" w:rsidP="00DB4EE3">
      <w:pPr>
        <w:pStyle w:val="Textonotapie"/>
        <w:ind w:left="142" w:hanging="142"/>
        <w:rPr>
          <w:rFonts w:ascii="Arial" w:hAnsi="Arial" w:cs="Arial"/>
        </w:rPr>
      </w:pPr>
      <w:r w:rsidRPr="00C874EC">
        <w:rPr>
          <w:rStyle w:val="Refdenotaalpie"/>
          <w:rFonts w:ascii="Arial" w:hAnsi="Arial" w:cs="Arial"/>
        </w:rPr>
        <w:footnoteRef/>
      </w:r>
      <w:r w:rsidRPr="00C874EC">
        <w:rPr>
          <w:rFonts w:ascii="Arial" w:hAnsi="Arial" w:cs="Arial"/>
        </w:rPr>
        <w:t xml:space="preserve"> </w:t>
      </w:r>
      <w:r w:rsidRPr="00C874EC">
        <w:rPr>
          <w:rFonts w:ascii="Arial" w:hAnsi="Arial" w:cs="Arial"/>
          <w:spacing w:val="-4"/>
        </w:rPr>
        <w:t>Párrafo adicionado decreto publicado por el Diario Oficial de la Federación el 03 de febrero de 1983.</w:t>
      </w:r>
    </w:p>
  </w:footnote>
  <w:footnote w:id="71">
    <w:p w14:paraId="5C473119" w14:textId="77777777" w:rsidR="0062369B" w:rsidRPr="00DB4EE3" w:rsidRDefault="0062369B" w:rsidP="00CE6011">
      <w:pPr>
        <w:spacing w:after="0" w:line="240" w:lineRule="auto"/>
        <w:ind w:left="170" w:hanging="170"/>
        <w:rPr>
          <w:rFonts w:ascii="Arial" w:hAnsi="Arial" w:cs="Arial"/>
          <w:sz w:val="20"/>
          <w:szCs w:val="20"/>
        </w:rPr>
      </w:pPr>
      <w:r w:rsidRPr="00C874EC">
        <w:rPr>
          <w:rStyle w:val="Refdenotaalpie"/>
          <w:rFonts w:ascii="Arial" w:hAnsi="Arial" w:cs="Arial"/>
          <w:sz w:val="20"/>
          <w:szCs w:val="20"/>
        </w:rPr>
        <w:footnoteRef/>
      </w:r>
      <w:r w:rsidRPr="00C874EC">
        <w:rPr>
          <w:rFonts w:ascii="Arial" w:hAnsi="Arial" w:cs="Arial"/>
          <w:sz w:val="20"/>
          <w:szCs w:val="20"/>
        </w:rPr>
        <w:t xml:space="preserve"> </w:t>
      </w:r>
      <w:r w:rsidRPr="00C874EC">
        <w:rPr>
          <w:rFonts w:ascii="Arial" w:hAnsi="Arial" w:cs="Arial"/>
          <w:spacing w:val="-4"/>
          <w:sz w:val="20"/>
          <w:szCs w:val="20"/>
        </w:rPr>
        <w:t>Fracción reformada decreto publicado por el Diario Oficial de la Federación el 28 de enero de 2011.</w:t>
      </w:r>
    </w:p>
  </w:footnote>
  <w:footnote w:id="72">
    <w:p w14:paraId="323366F9" w14:textId="77777777" w:rsidR="0062369B" w:rsidRPr="00DB4EE3" w:rsidRDefault="0062369B" w:rsidP="00CE6011">
      <w:pPr>
        <w:pStyle w:val="Textonotapie"/>
        <w:rPr>
          <w:rFonts w:ascii="Arial" w:hAnsi="Arial" w:cs="Arial"/>
        </w:rPr>
      </w:pPr>
      <w:r w:rsidRPr="00C874EC">
        <w:rPr>
          <w:rStyle w:val="Refdenotaalpie"/>
          <w:rFonts w:ascii="Arial" w:hAnsi="Arial" w:cs="Arial"/>
        </w:rPr>
        <w:footnoteRef/>
      </w:r>
      <w:r w:rsidRPr="00C874EC">
        <w:rPr>
          <w:rFonts w:ascii="Arial" w:hAnsi="Arial" w:cs="Arial"/>
        </w:rPr>
        <w:t xml:space="preserve"> Texto Vigente: Última reforma publicada DOF 19 de enero de 2018.</w:t>
      </w:r>
    </w:p>
  </w:footnote>
  <w:footnote w:id="73">
    <w:p w14:paraId="79021E98" w14:textId="77777777" w:rsidR="0062369B" w:rsidRPr="00CA0725" w:rsidRDefault="0062369B" w:rsidP="000639E0">
      <w:pPr>
        <w:spacing w:after="0" w:line="240" w:lineRule="auto"/>
        <w:ind w:left="170" w:hanging="170"/>
        <w:rPr>
          <w:rFonts w:ascii="Arial" w:hAnsi="Arial" w:cs="Arial"/>
          <w:sz w:val="18"/>
          <w:szCs w:val="18"/>
        </w:rPr>
      </w:pPr>
      <w:r w:rsidRPr="00C874EC">
        <w:rPr>
          <w:rStyle w:val="Refdenotaalpie"/>
          <w:rFonts w:ascii="Arial" w:hAnsi="Arial" w:cs="Arial"/>
          <w:sz w:val="20"/>
          <w:szCs w:val="20"/>
        </w:rPr>
        <w:footnoteRef/>
      </w:r>
      <w:r w:rsidRPr="00C874EC">
        <w:rPr>
          <w:rFonts w:ascii="Arial" w:hAnsi="Arial" w:cs="Arial"/>
          <w:sz w:val="20"/>
          <w:szCs w:val="20"/>
        </w:rPr>
        <w:t xml:space="preserve"> Ley General de Salud, Publicado en el D.O.F. el 7 de febrero de 1984, texto vigente última reforma publicada DOF 12-07-2018.</w:t>
      </w:r>
    </w:p>
    <w:p w14:paraId="615C99A3" w14:textId="77777777" w:rsidR="0062369B" w:rsidRDefault="0062369B" w:rsidP="00CE6011">
      <w:pPr>
        <w:pStyle w:val="Textonotapie"/>
      </w:pPr>
    </w:p>
  </w:footnote>
  <w:footnote w:id="74">
    <w:p w14:paraId="387EFC20" w14:textId="77777777" w:rsidR="0062369B" w:rsidRPr="00C874EC" w:rsidRDefault="0062369B" w:rsidP="00461369">
      <w:pPr>
        <w:spacing w:after="0" w:line="240" w:lineRule="auto"/>
        <w:rPr>
          <w:rFonts w:ascii="Arial" w:hAnsi="Arial" w:cs="Arial"/>
          <w:sz w:val="20"/>
          <w:szCs w:val="20"/>
        </w:rPr>
      </w:pPr>
      <w:r w:rsidRPr="00C874EC">
        <w:rPr>
          <w:rStyle w:val="Refdenotaalpie"/>
          <w:rFonts w:ascii="Arial" w:hAnsi="Arial" w:cs="Arial"/>
          <w:sz w:val="20"/>
          <w:szCs w:val="20"/>
        </w:rPr>
        <w:footnoteRef/>
      </w:r>
      <w:r w:rsidRPr="00C874EC">
        <w:rPr>
          <w:rFonts w:ascii="Arial" w:hAnsi="Arial" w:cs="Arial"/>
          <w:sz w:val="20"/>
          <w:szCs w:val="20"/>
        </w:rPr>
        <w:t xml:space="preserve"> Ley General de Salud, artículo reformado DOF 27-05-1987, 12-01-2006, 01-09-2011</w:t>
      </w:r>
    </w:p>
  </w:footnote>
  <w:footnote w:id="75">
    <w:p w14:paraId="7A9B1F67" w14:textId="77777777" w:rsidR="0062369B" w:rsidRPr="00041E44" w:rsidRDefault="0062369B" w:rsidP="00461369">
      <w:pPr>
        <w:spacing w:after="0" w:line="240" w:lineRule="auto"/>
        <w:rPr>
          <w:rFonts w:ascii="Arial" w:hAnsi="Arial" w:cs="Arial"/>
          <w:sz w:val="20"/>
          <w:szCs w:val="20"/>
        </w:rPr>
      </w:pPr>
      <w:r w:rsidRPr="00C874EC">
        <w:rPr>
          <w:rStyle w:val="Refdenotaalpie"/>
          <w:rFonts w:ascii="Arial" w:hAnsi="Arial" w:cs="Arial"/>
          <w:sz w:val="20"/>
          <w:szCs w:val="20"/>
        </w:rPr>
        <w:footnoteRef/>
      </w:r>
      <w:r w:rsidRPr="00C874EC">
        <w:rPr>
          <w:rFonts w:ascii="Arial" w:hAnsi="Arial" w:cs="Arial"/>
          <w:sz w:val="20"/>
          <w:szCs w:val="20"/>
        </w:rPr>
        <w:t xml:space="preserve"> Ley General de Salud, artículo reformado DOF 01-09-2011</w:t>
      </w:r>
    </w:p>
  </w:footnote>
  <w:footnote w:id="76">
    <w:p w14:paraId="2C10B312" w14:textId="222D4763" w:rsidR="0062369B" w:rsidRPr="00041E44" w:rsidRDefault="0062369B" w:rsidP="00CE6011">
      <w:pPr>
        <w:pStyle w:val="Textonotapie"/>
        <w:rPr>
          <w:rFonts w:ascii="Arial" w:hAnsi="Arial" w:cs="Arial"/>
        </w:rPr>
      </w:pPr>
      <w:r w:rsidRPr="00041E44">
        <w:rPr>
          <w:rStyle w:val="Refdenotaalpie"/>
          <w:rFonts w:ascii="Arial" w:hAnsi="Arial" w:cs="Arial"/>
        </w:rPr>
        <w:footnoteRef/>
      </w:r>
      <w:r w:rsidRPr="00041E44">
        <w:rPr>
          <w:rFonts w:ascii="Arial" w:hAnsi="Arial" w:cs="Arial"/>
        </w:rPr>
        <w:t xml:space="preserve"> </w:t>
      </w:r>
      <w:r w:rsidRPr="00C874EC">
        <w:rPr>
          <w:rFonts w:ascii="Arial" w:hAnsi="Arial" w:cs="Arial"/>
        </w:rPr>
        <w:t>Ley General de Salud, artículo reformado DOF 27-05-1987.</w:t>
      </w:r>
    </w:p>
    <w:p w14:paraId="17B28EBC" w14:textId="77777777" w:rsidR="0062369B" w:rsidRDefault="0062369B" w:rsidP="00CE6011">
      <w:pPr>
        <w:pStyle w:val="Textonotapie"/>
      </w:pPr>
    </w:p>
  </w:footnote>
  <w:footnote w:id="77">
    <w:p w14:paraId="381A89EE" w14:textId="77777777" w:rsidR="0062369B" w:rsidRPr="00E06CD6" w:rsidRDefault="0062369B" w:rsidP="000639E0">
      <w:pPr>
        <w:pStyle w:val="Textonotapie"/>
        <w:ind w:left="170" w:hanging="170"/>
        <w:rPr>
          <w:rFonts w:ascii="Arial" w:hAnsi="Arial" w:cs="Arial"/>
          <w:lang w:val="en-US"/>
        </w:rPr>
      </w:pPr>
      <w:r w:rsidRPr="00C874EC">
        <w:rPr>
          <w:rStyle w:val="Refdenotaalpie"/>
          <w:rFonts w:ascii="Arial" w:hAnsi="Arial" w:cs="Arial"/>
        </w:rPr>
        <w:footnoteRef/>
      </w:r>
      <w:r w:rsidRPr="00C874EC">
        <w:rPr>
          <w:rFonts w:ascii="Arial" w:hAnsi="Arial" w:cs="Arial"/>
        </w:rPr>
        <w:t xml:space="preserve"> Querido, S., Vergouw, D., Wigersma, L., Batenburg, R., De Rond, M., Ten, O. (2016). </w:t>
      </w:r>
      <w:r w:rsidRPr="00C874EC">
        <w:rPr>
          <w:rFonts w:ascii="Arial" w:hAnsi="Arial" w:cs="Arial"/>
          <w:lang w:val="en-US"/>
        </w:rPr>
        <w:t xml:space="preserve">Dynamics of career choice among students in undergraduate medical courses. A BEME systematic review: BEME Guide No. 33. </w:t>
      </w:r>
      <w:r w:rsidRPr="00C874EC">
        <w:rPr>
          <w:rFonts w:ascii="Arial" w:hAnsi="Arial" w:cs="Arial"/>
          <w:i/>
          <w:lang w:val="en-US"/>
        </w:rPr>
        <w:t>Medical Teacher</w:t>
      </w:r>
      <w:r w:rsidRPr="00C874EC">
        <w:rPr>
          <w:rFonts w:ascii="Arial" w:hAnsi="Arial" w:cs="Arial"/>
          <w:lang w:val="en-US"/>
        </w:rPr>
        <w:t>, vol. 38 (1), pp. 18-29.</w:t>
      </w:r>
    </w:p>
  </w:footnote>
  <w:footnote w:id="78">
    <w:p w14:paraId="6D2A3BCF" w14:textId="77777777" w:rsidR="0062369B" w:rsidRPr="00C874EC" w:rsidRDefault="0062369B" w:rsidP="000639E0">
      <w:pPr>
        <w:pStyle w:val="Textonotapie"/>
        <w:ind w:left="170" w:hanging="170"/>
        <w:rPr>
          <w:rFonts w:ascii="Arial" w:hAnsi="Arial" w:cs="Arial"/>
        </w:rPr>
      </w:pPr>
      <w:r w:rsidRPr="00C874EC">
        <w:rPr>
          <w:rStyle w:val="Refdenotaalpie"/>
          <w:rFonts w:ascii="Arial" w:hAnsi="Arial" w:cs="Arial"/>
        </w:rPr>
        <w:footnoteRef/>
      </w:r>
      <w:r w:rsidRPr="00C874EC">
        <w:rPr>
          <w:rFonts w:ascii="Arial" w:hAnsi="Arial" w:cs="Arial"/>
        </w:rPr>
        <w:t xml:space="preserve"> Gutiérrez, C., Naveja, J., Sánchez, M. (2017). Factores relacionados con la elección de una especialidad en medicina. </w:t>
      </w:r>
      <w:r w:rsidRPr="00C874EC">
        <w:rPr>
          <w:rFonts w:ascii="Arial" w:hAnsi="Arial" w:cs="Arial"/>
          <w:i/>
        </w:rPr>
        <w:t>Investigación en Educación Médica</w:t>
      </w:r>
      <w:r w:rsidRPr="00C874EC">
        <w:rPr>
          <w:rFonts w:ascii="Arial" w:hAnsi="Arial" w:cs="Arial"/>
        </w:rPr>
        <w:t>, vol. 6(23), pp. 206-214.</w:t>
      </w:r>
    </w:p>
  </w:footnote>
  <w:footnote w:id="79">
    <w:p w14:paraId="084577ED" w14:textId="316403BB" w:rsidR="0062369B" w:rsidRPr="00C874EC" w:rsidRDefault="0062369B" w:rsidP="00954059">
      <w:pPr>
        <w:pStyle w:val="Textonotapie"/>
        <w:rPr>
          <w:rFonts w:ascii="Arial" w:hAnsi="Arial" w:cs="Arial"/>
        </w:rPr>
      </w:pPr>
      <w:r w:rsidRPr="00C874EC">
        <w:rPr>
          <w:rStyle w:val="Refdenotaalpie"/>
          <w:rFonts w:ascii="Arial" w:hAnsi="Arial" w:cs="Arial"/>
        </w:rPr>
        <w:footnoteRef/>
      </w:r>
      <w:r w:rsidRPr="00C874EC">
        <w:rPr>
          <w:rFonts w:ascii="Arial" w:hAnsi="Arial" w:cs="Arial"/>
        </w:rPr>
        <w:t xml:space="preserve"> Fajardo, </w:t>
      </w:r>
      <w:r w:rsidRPr="00C874EC">
        <w:rPr>
          <w:rFonts w:ascii="Arial" w:hAnsi="Arial" w:cs="Arial"/>
          <w:i/>
        </w:rPr>
        <w:t>et al.</w:t>
      </w:r>
      <w:r w:rsidRPr="00C874EC">
        <w:rPr>
          <w:rFonts w:ascii="Arial" w:hAnsi="Arial" w:cs="Arial"/>
        </w:rPr>
        <w:t xml:space="preserve"> (2015), </w:t>
      </w:r>
      <w:r w:rsidRPr="00C874EC">
        <w:rPr>
          <w:rFonts w:ascii="Arial" w:hAnsi="Arial" w:cs="Arial"/>
          <w:i/>
        </w:rPr>
        <w:t>op. cit</w:t>
      </w:r>
      <w:r w:rsidRPr="00C874EC">
        <w:rPr>
          <w:rFonts w:ascii="Arial" w:hAnsi="Arial" w:cs="Arial"/>
        </w:rPr>
        <w:t>., p. 35.</w:t>
      </w:r>
    </w:p>
  </w:footnote>
  <w:footnote w:id="80">
    <w:p w14:paraId="6C167F29" w14:textId="77777777" w:rsidR="0062369B" w:rsidRPr="00C874EC" w:rsidRDefault="0062369B" w:rsidP="000639E0">
      <w:pPr>
        <w:pStyle w:val="Textonotapie"/>
        <w:ind w:left="170" w:hanging="170"/>
      </w:pPr>
      <w:r w:rsidRPr="00C874EC">
        <w:rPr>
          <w:rStyle w:val="Refdenotaalpie"/>
          <w:rFonts w:ascii="Arial" w:hAnsi="Arial" w:cs="Arial"/>
        </w:rPr>
        <w:footnoteRef/>
      </w:r>
      <w:r w:rsidRPr="00C874EC">
        <w:rPr>
          <w:rFonts w:ascii="Arial" w:hAnsi="Arial" w:cs="Arial"/>
          <w:lang w:val="en-US"/>
        </w:rPr>
        <w:t xml:space="preserve"> Bland, C., Meurer, L., Maldona, G. (1995). Determinants of primary care specialty choice: A non-statistical meta-analysis of the literature. </w:t>
      </w:r>
      <w:r w:rsidRPr="00C874EC">
        <w:rPr>
          <w:rFonts w:ascii="Arial" w:hAnsi="Arial" w:cs="Arial"/>
          <w:i/>
        </w:rPr>
        <w:t>Acad Med</w:t>
      </w:r>
      <w:r w:rsidRPr="00C874EC">
        <w:rPr>
          <w:rFonts w:ascii="Arial" w:hAnsi="Arial" w:cs="Arial"/>
        </w:rPr>
        <w:t>, vol. 70(7), pp.620–641.</w:t>
      </w:r>
    </w:p>
  </w:footnote>
  <w:footnote w:id="81">
    <w:p w14:paraId="36192D59" w14:textId="01F428E4" w:rsidR="0062369B" w:rsidRPr="00E06CD6" w:rsidRDefault="0062369B" w:rsidP="00954059">
      <w:pPr>
        <w:pStyle w:val="Textonotapie"/>
        <w:rPr>
          <w:rFonts w:ascii="Arial" w:hAnsi="Arial" w:cs="Arial"/>
        </w:rPr>
      </w:pPr>
      <w:r w:rsidRPr="00C874EC">
        <w:rPr>
          <w:rStyle w:val="Refdenotaalpie"/>
          <w:rFonts w:ascii="Arial" w:hAnsi="Arial" w:cs="Arial"/>
        </w:rPr>
        <w:footnoteRef/>
      </w:r>
      <w:r w:rsidRPr="00C874EC">
        <w:rPr>
          <w:rFonts w:ascii="Arial" w:hAnsi="Arial" w:cs="Arial"/>
        </w:rPr>
        <w:t xml:space="preserve"> Querido, </w:t>
      </w:r>
      <w:r w:rsidRPr="00C874EC">
        <w:rPr>
          <w:rFonts w:ascii="Arial" w:hAnsi="Arial" w:cs="Arial"/>
          <w:i/>
        </w:rPr>
        <w:t>et al.</w:t>
      </w:r>
      <w:r w:rsidRPr="00C874EC">
        <w:rPr>
          <w:rFonts w:ascii="Arial" w:hAnsi="Arial" w:cs="Arial"/>
        </w:rPr>
        <w:t xml:space="preserve"> (2016), </w:t>
      </w:r>
      <w:r w:rsidRPr="00C874EC">
        <w:rPr>
          <w:rFonts w:ascii="Arial" w:hAnsi="Arial" w:cs="Arial"/>
          <w:i/>
        </w:rPr>
        <w:t>op. cit</w:t>
      </w:r>
      <w:r w:rsidRPr="00C874EC">
        <w:rPr>
          <w:rFonts w:ascii="Arial" w:hAnsi="Arial" w:cs="Arial"/>
        </w:rPr>
        <w:t>., p. 20.</w:t>
      </w:r>
    </w:p>
  </w:footnote>
  <w:footnote w:id="82">
    <w:p w14:paraId="7EED8712" w14:textId="77777777" w:rsidR="0062369B" w:rsidRPr="00C874EC" w:rsidRDefault="0062369B" w:rsidP="000639E0">
      <w:pPr>
        <w:pStyle w:val="Textonotapie"/>
        <w:ind w:left="170" w:hanging="170"/>
        <w:rPr>
          <w:rFonts w:ascii="Arial" w:hAnsi="Arial" w:cs="Arial"/>
        </w:rPr>
      </w:pPr>
      <w:r w:rsidRPr="00C874EC">
        <w:rPr>
          <w:rStyle w:val="Refdenotaalpie"/>
          <w:rFonts w:ascii="Arial" w:hAnsi="Arial" w:cs="Arial"/>
        </w:rPr>
        <w:footnoteRef/>
      </w:r>
      <w:r w:rsidRPr="00C874EC">
        <w:rPr>
          <w:rFonts w:ascii="Arial" w:hAnsi="Arial" w:cs="Arial"/>
        </w:rPr>
        <w:t xml:space="preserve"> Rodríguez, R. (1989) Metodología para el análisis demográfico de la eficiencia terminal, la deserción y el rezago escolar. En “</w:t>
      </w:r>
      <w:r w:rsidRPr="00C874EC">
        <w:rPr>
          <w:rFonts w:ascii="Arial" w:hAnsi="Arial" w:cs="Arial"/>
          <w:i/>
        </w:rPr>
        <w:t>La trayectoria escolar en la educación superior. Panorámica de la investigación y acercamientos metodológicos</w:t>
      </w:r>
      <w:r w:rsidRPr="00C874EC">
        <w:rPr>
          <w:rFonts w:ascii="Arial" w:hAnsi="Arial" w:cs="Arial"/>
        </w:rPr>
        <w:t>” R. Santoyo (coord.) ANUIES; México, D.F. (pp. 225-280).</w:t>
      </w:r>
    </w:p>
  </w:footnote>
  <w:footnote w:id="83">
    <w:p w14:paraId="7963B246" w14:textId="79B8FC86" w:rsidR="0062369B" w:rsidRDefault="0062369B" w:rsidP="00954059">
      <w:pPr>
        <w:pStyle w:val="Textonotapie"/>
      </w:pPr>
      <w:r w:rsidRPr="00C874EC">
        <w:rPr>
          <w:rStyle w:val="Refdenotaalpie"/>
          <w:rFonts w:ascii="Arial" w:hAnsi="Arial" w:cs="Arial"/>
        </w:rPr>
        <w:footnoteRef/>
      </w:r>
      <w:r w:rsidRPr="00C874EC">
        <w:rPr>
          <w:rFonts w:ascii="Arial" w:hAnsi="Arial" w:cs="Arial"/>
        </w:rPr>
        <w:t xml:space="preserve"> Graue, E. (2015). Posicionamiento de la Academia Nacional de Medicina.</w:t>
      </w:r>
    </w:p>
  </w:footnote>
  <w:footnote w:id="84">
    <w:p w14:paraId="7CC97D09" w14:textId="185BD466" w:rsidR="0062369B" w:rsidRPr="00C874EC" w:rsidRDefault="0062369B" w:rsidP="000639E0">
      <w:pPr>
        <w:pStyle w:val="Textonotapie"/>
        <w:ind w:left="170" w:hanging="170"/>
        <w:rPr>
          <w:rFonts w:ascii="Arial" w:hAnsi="Arial" w:cs="Arial"/>
        </w:rPr>
      </w:pPr>
      <w:r w:rsidRPr="00C874EC">
        <w:rPr>
          <w:rStyle w:val="Refdenotaalpie"/>
          <w:rFonts w:ascii="Arial" w:hAnsi="Arial" w:cs="Arial"/>
        </w:rPr>
        <w:footnoteRef/>
      </w:r>
      <w:r w:rsidRPr="00C874EC">
        <w:rPr>
          <w:rFonts w:ascii="Arial" w:hAnsi="Arial" w:cs="Arial"/>
        </w:rPr>
        <w:t xml:space="preserve"> Graue, E. (2015). Prólogo. En </w:t>
      </w:r>
      <w:r w:rsidRPr="00C874EC">
        <w:rPr>
          <w:rFonts w:ascii="Arial" w:hAnsi="Arial" w:cs="Arial"/>
          <w:i/>
        </w:rPr>
        <w:t>La formación de médicos especialistas en México. Documento de postura</w:t>
      </w:r>
      <w:r w:rsidRPr="00C874EC">
        <w:rPr>
          <w:rFonts w:ascii="Arial" w:hAnsi="Arial" w:cs="Arial"/>
        </w:rPr>
        <w:t xml:space="preserve"> (pp. XIII-XVI). Fajardo, G., Santacruz, J. y C. Lavalle (coords.); Academia Nacional de Medicina de México y Consejo Nacional de Ciencia y Tecnología de México; Ciudad de México.</w:t>
      </w:r>
    </w:p>
  </w:footnote>
  <w:footnote w:id="85">
    <w:p w14:paraId="58CEB223" w14:textId="36F32D11" w:rsidR="0062369B" w:rsidRPr="003F04BE" w:rsidRDefault="0062369B" w:rsidP="00F57F52">
      <w:pPr>
        <w:pStyle w:val="Textonotapie"/>
        <w:rPr>
          <w:rFonts w:ascii="Arial" w:hAnsi="Arial" w:cs="Arial"/>
        </w:rPr>
      </w:pPr>
      <w:r w:rsidRPr="00C874EC">
        <w:rPr>
          <w:rStyle w:val="Refdenotaalpie"/>
          <w:rFonts w:ascii="Arial" w:hAnsi="Arial" w:cs="Arial"/>
        </w:rPr>
        <w:footnoteRef/>
      </w:r>
      <w:r w:rsidRPr="00C874EC">
        <w:rPr>
          <w:rFonts w:ascii="Arial" w:hAnsi="Arial" w:cs="Arial"/>
        </w:rPr>
        <w:t xml:space="preserve"> Gutiérrez, </w:t>
      </w:r>
      <w:r w:rsidRPr="00C874EC">
        <w:rPr>
          <w:rFonts w:ascii="Arial" w:hAnsi="Arial" w:cs="Arial"/>
          <w:i/>
        </w:rPr>
        <w:t xml:space="preserve">et al. </w:t>
      </w:r>
      <w:r w:rsidRPr="00C874EC">
        <w:rPr>
          <w:rFonts w:ascii="Arial" w:hAnsi="Arial" w:cs="Arial"/>
        </w:rPr>
        <w:t>(2017),</w:t>
      </w:r>
      <w:r w:rsidRPr="00C874EC">
        <w:rPr>
          <w:rFonts w:ascii="Arial" w:hAnsi="Arial" w:cs="Arial"/>
          <w:i/>
        </w:rPr>
        <w:t xml:space="preserve"> op. cit.,</w:t>
      </w:r>
      <w:r w:rsidRPr="00C874EC">
        <w:rPr>
          <w:rFonts w:ascii="Arial" w:hAnsi="Arial" w:cs="Arial"/>
        </w:rPr>
        <w:t xml:space="preserve"> p. 212</w:t>
      </w:r>
    </w:p>
  </w:footnote>
  <w:footnote w:id="86">
    <w:p w14:paraId="0C94C9E6" w14:textId="174ED92B" w:rsidR="0062369B" w:rsidRPr="003F04BE" w:rsidRDefault="0062369B" w:rsidP="00F57F52">
      <w:pPr>
        <w:pStyle w:val="Textonotapie"/>
        <w:rPr>
          <w:rFonts w:ascii="Arial" w:hAnsi="Arial" w:cs="Arial"/>
        </w:rPr>
      </w:pPr>
      <w:r w:rsidRPr="003F04BE">
        <w:rPr>
          <w:rStyle w:val="Refdenotaalpie"/>
          <w:rFonts w:ascii="Arial" w:hAnsi="Arial" w:cs="Arial"/>
        </w:rPr>
        <w:footnoteRef/>
      </w:r>
      <w:r w:rsidRPr="003F04BE">
        <w:rPr>
          <w:rFonts w:ascii="Arial" w:hAnsi="Arial" w:cs="Arial"/>
        </w:rPr>
        <w:t xml:space="preserve"> Fajardo</w:t>
      </w:r>
      <w:r>
        <w:rPr>
          <w:rFonts w:ascii="Arial" w:hAnsi="Arial" w:cs="Arial"/>
        </w:rPr>
        <w:t>,</w:t>
      </w:r>
      <w:r w:rsidRPr="003F04BE">
        <w:rPr>
          <w:rFonts w:ascii="Arial" w:hAnsi="Arial" w:cs="Arial"/>
        </w:rPr>
        <w:t xml:space="preserve"> </w:t>
      </w:r>
      <w:r>
        <w:rPr>
          <w:rFonts w:ascii="Arial" w:hAnsi="Arial" w:cs="Arial"/>
          <w:i/>
        </w:rPr>
        <w:t>et</w:t>
      </w:r>
      <w:r w:rsidRPr="003F04BE">
        <w:rPr>
          <w:rFonts w:ascii="Arial" w:hAnsi="Arial" w:cs="Arial"/>
          <w:i/>
        </w:rPr>
        <w:t xml:space="preserve"> al.</w:t>
      </w:r>
      <w:r w:rsidRPr="003F04BE">
        <w:rPr>
          <w:rFonts w:ascii="Arial" w:hAnsi="Arial" w:cs="Arial"/>
        </w:rPr>
        <w:t xml:space="preserve"> (2015), </w:t>
      </w:r>
      <w:r w:rsidRPr="003F04BE">
        <w:rPr>
          <w:rFonts w:ascii="Arial" w:hAnsi="Arial" w:cs="Arial"/>
          <w:i/>
        </w:rPr>
        <w:t>op. cit.</w:t>
      </w:r>
      <w:r w:rsidRPr="003F04BE">
        <w:rPr>
          <w:rFonts w:ascii="Arial" w:hAnsi="Arial" w:cs="Arial"/>
        </w:rPr>
        <w:t>, p. 44.</w:t>
      </w:r>
    </w:p>
  </w:footnote>
  <w:footnote w:id="87">
    <w:p w14:paraId="33B16381" w14:textId="77777777" w:rsidR="0062369B" w:rsidRPr="001472B8" w:rsidRDefault="0062369B" w:rsidP="005B44CA">
      <w:pPr>
        <w:pStyle w:val="Textonotapie"/>
        <w:rPr>
          <w:rFonts w:ascii="Arial" w:hAnsi="Arial" w:cs="Arial"/>
          <w:lang w:val="en-US"/>
        </w:rPr>
      </w:pPr>
      <w:r w:rsidRPr="001472B8">
        <w:rPr>
          <w:rStyle w:val="Refdenotaalpie"/>
          <w:rFonts w:ascii="Arial" w:hAnsi="Arial" w:cs="Arial"/>
        </w:rPr>
        <w:footnoteRef/>
      </w:r>
      <w:r w:rsidRPr="001472B8">
        <w:rPr>
          <w:rFonts w:ascii="Arial" w:hAnsi="Arial" w:cs="Arial"/>
          <w:lang w:val="en-US"/>
        </w:rPr>
        <w:t xml:space="preserve"> SSA (2019), </w:t>
      </w:r>
      <w:r w:rsidRPr="001472B8">
        <w:rPr>
          <w:rFonts w:ascii="Arial" w:hAnsi="Arial" w:cs="Arial"/>
          <w:i/>
          <w:lang w:val="en-US"/>
        </w:rPr>
        <w:t>op. cit.</w:t>
      </w:r>
      <w:r w:rsidRPr="001472B8">
        <w:rPr>
          <w:rFonts w:ascii="Arial" w:hAnsi="Arial" w:cs="Arial"/>
          <w:lang w:val="en-US"/>
        </w:rPr>
        <w:t>, s.p.</w:t>
      </w:r>
    </w:p>
  </w:footnote>
  <w:footnote w:id="88">
    <w:p w14:paraId="3743160B" w14:textId="77777777" w:rsidR="0062369B" w:rsidRPr="001472B8" w:rsidRDefault="0062369B" w:rsidP="005B44CA">
      <w:pPr>
        <w:pStyle w:val="Textonotapie"/>
        <w:rPr>
          <w:rFonts w:ascii="Arial" w:hAnsi="Arial" w:cs="Arial"/>
        </w:rPr>
      </w:pPr>
      <w:r w:rsidRPr="001472B8">
        <w:rPr>
          <w:rStyle w:val="Refdenotaalpie"/>
          <w:rFonts w:ascii="Arial" w:hAnsi="Arial" w:cs="Arial"/>
        </w:rPr>
        <w:footnoteRef/>
      </w:r>
      <w:r w:rsidRPr="001472B8">
        <w:rPr>
          <w:rFonts w:ascii="Arial" w:hAnsi="Arial" w:cs="Arial"/>
        </w:rPr>
        <w:t xml:space="preserve"> INEGI (2018), </w:t>
      </w:r>
      <w:r w:rsidRPr="001472B8">
        <w:rPr>
          <w:rFonts w:ascii="Arial" w:hAnsi="Arial" w:cs="Arial"/>
          <w:i/>
        </w:rPr>
        <w:t>op. cit</w:t>
      </w:r>
      <w:r w:rsidRPr="001472B8">
        <w:rPr>
          <w:rFonts w:ascii="Arial" w:hAnsi="Arial" w:cs="Arial"/>
        </w:rPr>
        <w:t>., s.p.</w:t>
      </w:r>
    </w:p>
  </w:footnote>
  <w:footnote w:id="89">
    <w:p w14:paraId="23B1857B" w14:textId="472D4778" w:rsidR="0062369B" w:rsidRPr="001472B8" w:rsidRDefault="0062369B" w:rsidP="005B44CA">
      <w:pPr>
        <w:pStyle w:val="Textonotapie"/>
        <w:rPr>
          <w:rFonts w:ascii="Arial" w:hAnsi="Arial" w:cs="Arial"/>
          <w:lang w:val="en-US"/>
        </w:rPr>
      </w:pPr>
      <w:r w:rsidRPr="001472B8">
        <w:rPr>
          <w:rStyle w:val="Refdenotaalpie"/>
          <w:rFonts w:ascii="Arial" w:hAnsi="Arial" w:cs="Arial"/>
        </w:rPr>
        <w:footnoteRef/>
      </w:r>
      <w:r w:rsidRPr="001472B8">
        <w:rPr>
          <w:rFonts w:ascii="Arial" w:hAnsi="Arial" w:cs="Arial"/>
        </w:rPr>
        <w:t xml:space="preserve"> Fajardo</w:t>
      </w:r>
      <w:r>
        <w:rPr>
          <w:rFonts w:ascii="Arial" w:hAnsi="Arial" w:cs="Arial"/>
        </w:rPr>
        <w:t>,</w:t>
      </w:r>
      <w:r w:rsidRPr="001472B8">
        <w:rPr>
          <w:rFonts w:ascii="Arial" w:hAnsi="Arial" w:cs="Arial"/>
        </w:rPr>
        <w:t xml:space="preserve"> </w:t>
      </w:r>
      <w:r>
        <w:rPr>
          <w:rFonts w:ascii="Arial" w:hAnsi="Arial" w:cs="Arial"/>
          <w:i/>
        </w:rPr>
        <w:t>et</w:t>
      </w:r>
      <w:r w:rsidRPr="001472B8">
        <w:rPr>
          <w:rFonts w:ascii="Arial" w:hAnsi="Arial" w:cs="Arial"/>
          <w:i/>
        </w:rPr>
        <w:t xml:space="preserve"> al.</w:t>
      </w:r>
      <w:r w:rsidRPr="001472B8">
        <w:rPr>
          <w:rFonts w:ascii="Arial" w:hAnsi="Arial" w:cs="Arial"/>
        </w:rPr>
        <w:t xml:space="preserve"> </w:t>
      </w:r>
      <w:r w:rsidRPr="001472B8">
        <w:rPr>
          <w:rFonts w:ascii="Arial" w:hAnsi="Arial" w:cs="Arial"/>
          <w:lang w:val="en-US"/>
        </w:rPr>
        <w:t xml:space="preserve">(2015), </w:t>
      </w:r>
      <w:r w:rsidRPr="001472B8">
        <w:rPr>
          <w:rFonts w:ascii="Arial" w:hAnsi="Arial" w:cs="Arial"/>
          <w:i/>
          <w:lang w:val="en-US"/>
        </w:rPr>
        <w:t>op. cit.</w:t>
      </w:r>
      <w:r w:rsidRPr="001472B8">
        <w:rPr>
          <w:rFonts w:ascii="Arial" w:hAnsi="Arial" w:cs="Arial"/>
          <w:lang w:val="en-US"/>
        </w:rPr>
        <w:t>, p. 33</w:t>
      </w:r>
    </w:p>
  </w:footnote>
  <w:footnote w:id="90">
    <w:p w14:paraId="6C5A7F38" w14:textId="737D31F8" w:rsidR="0062369B" w:rsidRPr="00CC45AB" w:rsidRDefault="0062369B" w:rsidP="005B44CA">
      <w:pPr>
        <w:pStyle w:val="Textonotapie"/>
        <w:rPr>
          <w:rFonts w:ascii="Arial" w:hAnsi="Arial" w:cs="Arial"/>
        </w:rPr>
      </w:pPr>
      <w:r w:rsidRPr="001472B8">
        <w:rPr>
          <w:rStyle w:val="Refdenotaalpie"/>
          <w:rFonts w:ascii="Arial" w:hAnsi="Arial" w:cs="Arial"/>
        </w:rPr>
        <w:footnoteRef/>
      </w:r>
      <w:r w:rsidRPr="001472B8">
        <w:rPr>
          <w:rFonts w:ascii="Arial" w:hAnsi="Arial" w:cs="Arial"/>
          <w:lang w:val="en-US"/>
        </w:rPr>
        <w:t xml:space="preserve"> Heinze</w:t>
      </w:r>
      <w:r>
        <w:rPr>
          <w:rFonts w:ascii="Arial" w:hAnsi="Arial" w:cs="Arial"/>
          <w:lang w:val="en-US"/>
        </w:rPr>
        <w:t>,</w:t>
      </w:r>
      <w:r w:rsidRPr="001472B8">
        <w:rPr>
          <w:rFonts w:ascii="Arial" w:hAnsi="Arial" w:cs="Arial"/>
          <w:lang w:val="en-US"/>
        </w:rPr>
        <w:t xml:space="preserve"> </w:t>
      </w:r>
      <w:r>
        <w:rPr>
          <w:rFonts w:ascii="Arial" w:hAnsi="Arial" w:cs="Arial"/>
          <w:i/>
          <w:lang w:val="en-US"/>
        </w:rPr>
        <w:t>et</w:t>
      </w:r>
      <w:r w:rsidRPr="001472B8">
        <w:rPr>
          <w:rFonts w:ascii="Arial" w:hAnsi="Arial" w:cs="Arial"/>
          <w:i/>
          <w:lang w:val="en-US"/>
        </w:rPr>
        <w:t xml:space="preserve"> al.</w:t>
      </w:r>
      <w:r w:rsidRPr="001472B8">
        <w:rPr>
          <w:rFonts w:ascii="Arial" w:hAnsi="Arial" w:cs="Arial"/>
          <w:lang w:val="en-US"/>
        </w:rPr>
        <w:t xml:space="preserve"> </w:t>
      </w:r>
      <w:r w:rsidRPr="00CC45AB">
        <w:rPr>
          <w:rFonts w:ascii="Arial" w:hAnsi="Arial" w:cs="Arial"/>
        </w:rPr>
        <w:t xml:space="preserve">(2018), </w:t>
      </w:r>
      <w:r w:rsidRPr="00CC45AB">
        <w:rPr>
          <w:rFonts w:ascii="Arial" w:hAnsi="Arial" w:cs="Arial"/>
          <w:i/>
        </w:rPr>
        <w:t>op. cit.</w:t>
      </w:r>
      <w:r w:rsidRPr="00CC45AB">
        <w:rPr>
          <w:rFonts w:ascii="Arial" w:hAnsi="Arial" w:cs="Arial"/>
        </w:rPr>
        <w:t>, p. 344</w:t>
      </w:r>
    </w:p>
  </w:footnote>
  <w:footnote w:id="91">
    <w:p w14:paraId="66CF88BE" w14:textId="77777777" w:rsidR="0062369B" w:rsidRPr="001472B8" w:rsidRDefault="0062369B" w:rsidP="005B44CA">
      <w:pPr>
        <w:pStyle w:val="Textonotapie"/>
        <w:rPr>
          <w:rFonts w:ascii="Arial" w:hAnsi="Arial" w:cs="Arial"/>
        </w:rPr>
      </w:pPr>
      <w:r w:rsidRPr="001472B8">
        <w:rPr>
          <w:rStyle w:val="Refdenotaalpie"/>
          <w:rFonts w:ascii="Arial" w:hAnsi="Arial" w:cs="Arial"/>
        </w:rPr>
        <w:footnoteRef/>
      </w:r>
      <w:r w:rsidRPr="001472B8">
        <w:rPr>
          <w:rFonts w:ascii="Arial" w:hAnsi="Arial" w:cs="Arial"/>
        </w:rPr>
        <w:t xml:space="preserve"> </w:t>
      </w:r>
      <w:r w:rsidRPr="001472B8">
        <w:rPr>
          <w:rFonts w:ascii="Arial" w:hAnsi="Arial" w:cs="Arial"/>
          <w:i/>
        </w:rPr>
        <w:t>Ibídem</w:t>
      </w:r>
      <w:r w:rsidRPr="001472B8">
        <w:rPr>
          <w:rFonts w:ascii="Arial" w:hAnsi="Arial" w:cs="Arial"/>
        </w:rPr>
        <w:t>.</w:t>
      </w:r>
    </w:p>
  </w:footnote>
  <w:footnote w:id="92">
    <w:p w14:paraId="42BDD589" w14:textId="66B8A2FC" w:rsidR="0062369B" w:rsidRPr="00C874EC" w:rsidRDefault="0062369B" w:rsidP="005B44CA">
      <w:pPr>
        <w:pStyle w:val="Textonotapie"/>
        <w:rPr>
          <w:rFonts w:ascii="Arial" w:hAnsi="Arial" w:cs="Arial"/>
          <w:lang w:val="en-US"/>
        </w:rPr>
      </w:pPr>
      <w:r w:rsidRPr="00C874EC">
        <w:rPr>
          <w:rStyle w:val="Refdenotaalpie"/>
          <w:rFonts w:ascii="Arial" w:hAnsi="Arial" w:cs="Arial"/>
        </w:rPr>
        <w:footnoteRef/>
      </w:r>
      <w:r w:rsidRPr="00C874EC">
        <w:rPr>
          <w:rFonts w:ascii="Arial" w:hAnsi="Arial" w:cs="Arial"/>
        </w:rPr>
        <w:t xml:space="preserve"> Fajardo, et al. </w:t>
      </w:r>
      <w:r w:rsidRPr="00C874EC">
        <w:rPr>
          <w:rFonts w:ascii="Arial" w:hAnsi="Arial" w:cs="Arial"/>
          <w:lang w:val="en-US"/>
        </w:rPr>
        <w:t>(2015), op. cit., p. 31.</w:t>
      </w:r>
    </w:p>
  </w:footnote>
  <w:footnote w:id="93">
    <w:p w14:paraId="07B5D3EC" w14:textId="77777777" w:rsidR="0062369B" w:rsidRPr="001472B8" w:rsidRDefault="0062369B" w:rsidP="000639E0">
      <w:pPr>
        <w:pStyle w:val="Textonotapie"/>
        <w:ind w:left="170" w:hanging="170"/>
        <w:rPr>
          <w:rFonts w:ascii="Arial" w:hAnsi="Arial" w:cs="Arial"/>
          <w:lang w:val="en-US"/>
        </w:rPr>
      </w:pPr>
      <w:r w:rsidRPr="00C874EC">
        <w:rPr>
          <w:rStyle w:val="Refdenotaalpie"/>
          <w:rFonts w:ascii="Arial" w:hAnsi="Arial" w:cs="Arial"/>
        </w:rPr>
        <w:footnoteRef/>
      </w:r>
      <w:r w:rsidRPr="00C874EC">
        <w:rPr>
          <w:rFonts w:ascii="Arial" w:hAnsi="Arial" w:cs="Arial"/>
          <w:lang w:val="en-US"/>
        </w:rPr>
        <w:t xml:space="preserve"> Dussault, G., Franceschini, M. (2006). Not enough there, too many here: understanding geographical imbalances in the distribution of the health workforce. </w:t>
      </w:r>
      <w:r w:rsidRPr="00C874EC">
        <w:rPr>
          <w:rFonts w:ascii="Arial" w:hAnsi="Arial" w:cs="Arial"/>
          <w:i/>
          <w:lang w:val="en-US"/>
        </w:rPr>
        <w:t>Human Resources for Health</w:t>
      </w:r>
      <w:r w:rsidRPr="00C874EC">
        <w:rPr>
          <w:rFonts w:ascii="Arial" w:hAnsi="Arial" w:cs="Arial"/>
          <w:lang w:val="en-US"/>
        </w:rPr>
        <w:t>, vol. 4 (12), pp. 1-16.</w:t>
      </w:r>
    </w:p>
  </w:footnote>
  <w:footnote w:id="94">
    <w:p w14:paraId="658FAE78" w14:textId="77777777" w:rsidR="0062369B" w:rsidRPr="005B44CA" w:rsidRDefault="0062369B" w:rsidP="005B44CA">
      <w:pPr>
        <w:pStyle w:val="Textonotapie"/>
        <w:rPr>
          <w:lang w:val="en-US"/>
        </w:rPr>
      </w:pPr>
      <w:r w:rsidRPr="001472B8">
        <w:rPr>
          <w:rStyle w:val="Refdenotaalpie"/>
          <w:rFonts w:ascii="Arial" w:hAnsi="Arial" w:cs="Arial"/>
        </w:rPr>
        <w:footnoteRef/>
      </w:r>
      <w:r w:rsidRPr="001472B8">
        <w:rPr>
          <w:rFonts w:ascii="Arial" w:hAnsi="Arial" w:cs="Arial"/>
          <w:lang w:val="en-US"/>
        </w:rPr>
        <w:t xml:space="preserve"> </w:t>
      </w:r>
      <w:r w:rsidRPr="001472B8">
        <w:rPr>
          <w:rFonts w:ascii="Arial" w:hAnsi="Arial" w:cs="Arial"/>
          <w:i/>
          <w:lang w:val="en-US"/>
        </w:rPr>
        <w:t>Ibídem</w:t>
      </w:r>
      <w:r w:rsidRPr="001472B8">
        <w:rPr>
          <w:rFonts w:ascii="Arial" w:hAnsi="Arial" w:cs="Arial"/>
          <w:lang w:val="en-US"/>
        </w:rPr>
        <w:t>.</w:t>
      </w:r>
    </w:p>
  </w:footnote>
  <w:footnote w:id="95">
    <w:p w14:paraId="5425121A" w14:textId="77777777" w:rsidR="0062369B" w:rsidRPr="00C874EC" w:rsidRDefault="0062369B" w:rsidP="000639E0">
      <w:pPr>
        <w:pStyle w:val="Textonotapie"/>
        <w:ind w:left="170" w:hanging="170"/>
        <w:rPr>
          <w:rFonts w:ascii="Arial" w:hAnsi="Arial" w:cs="Arial"/>
        </w:rPr>
      </w:pPr>
      <w:r w:rsidRPr="00C874EC">
        <w:rPr>
          <w:rStyle w:val="Refdenotaalpie"/>
          <w:rFonts w:ascii="Arial" w:hAnsi="Arial" w:cs="Arial"/>
        </w:rPr>
        <w:footnoteRef/>
      </w:r>
      <w:r w:rsidRPr="00C874EC">
        <w:rPr>
          <w:rFonts w:ascii="Arial" w:hAnsi="Arial" w:cs="Arial"/>
          <w:lang w:val="en-US"/>
        </w:rPr>
        <w:t xml:space="preserve"> Ruelas, E., Alonso, A. (2015). </w:t>
      </w:r>
      <w:r w:rsidRPr="00C874EC">
        <w:rPr>
          <w:rFonts w:ascii="Arial" w:hAnsi="Arial" w:cs="Arial"/>
        </w:rPr>
        <w:t xml:space="preserve">Imágenes generales sobre la posible evolución futura de las especialidades médicas. En </w:t>
      </w:r>
      <w:r w:rsidRPr="00C874EC">
        <w:rPr>
          <w:rFonts w:ascii="Arial" w:hAnsi="Arial" w:cs="Arial"/>
          <w:i/>
        </w:rPr>
        <w:t>Futuros de las especialidades médicas en México</w:t>
      </w:r>
      <w:r w:rsidRPr="00C874EC">
        <w:rPr>
          <w:rFonts w:ascii="Arial" w:hAnsi="Arial" w:cs="Arial"/>
        </w:rPr>
        <w:t xml:space="preserve"> (pp. 105-122). E. Ruelas y A. Alonso (Eds.); Academia Nacional de Medicina de México y Consejo Nacional de Ciencia y Tecnología de México; Ciudad de México.</w:t>
      </w:r>
    </w:p>
  </w:footnote>
  <w:footnote w:id="96">
    <w:p w14:paraId="2D34477D" w14:textId="77777777" w:rsidR="0062369B" w:rsidRPr="00C874EC" w:rsidRDefault="0062369B" w:rsidP="000639E0">
      <w:pPr>
        <w:pStyle w:val="Textonotapie"/>
        <w:ind w:left="170" w:hanging="170"/>
        <w:rPr>
          <w:rFonts w:ascii="Arial" w:hAnsi="Arial" w:cs="Arial"/>
        </w:rPr>
      </w:pPr>
      <w:r w:rsidRPr="00C874EC">
        <w:rPr>
          <w:rStyle w:val="Refdenotaalpie"/>
          <w:rFonts w:ascii="Arial" w:hAnsi="Arial" w:cs="Arial"/>
        </w:rPr>
        <w:footnoteRef/>
      </w:r>
      <w:r w:rsidRPr="00C874EC">
        <w:rPr>
          <w:rFonts w:ascii="Arial" w:hAnsi="Arial" w:cs="Arial"/>
        </w:rPr>
        <w:t xml:space="preserve"> INEGI define a la población ocupada como aquellas personas de 15 y más años de edad que en la semana de referencia realizaron alguna actividad económica durante al menos una hora. Incluye a los ocupados que tenían trabajo, pero no lo desempeñaron temporalmente por alguna razón, sin que por ello perdieran el vínculo laboral con este; así como a quienes ayudaron en alguna actividad económica sin recibir un sueldo o salario.</w:t>
      </w:r>
    </w:p>
  </w:footnote>
  <w:footnote w:id="97">
    <w:p w14:paraId="49A74A4C" w14:textId="77777777" w:rsidR="0062369B" w:rsidRPr="001472B8" w:rsidRDefault="0062369B" w:rsidP="000639E0">
      <w:pPr>
        <w:pStyle w:val="Textonotapie"/>
        <w:ind w:left="170" w:hanging="170"/>
        <w:rPr>
          <w:rFonts w:ascii="Arial" w:hAnsi="Arial" w:cs="Arial"/>
        </w:rPr>
      </w:pPr>
      <w:r w:rsidRPr="00C874EC">
        <w:rPr>
          <w:rStyle w:val="Refdenotaalpie"/>
          <w:rFonts w:ascii="Arial" w:hAnsi="Arial" w:cs="Arial"/>
        </w:rPr>
        <w:footnoteRef/>
      </w:r>
      <w:r w:rsidRPr="00C874EC">
        <w:rPr>
          <w:rFonts w:ascii="Arial" w:hAnsi="Arial" w:cs="Arial"/>
        </w:rPr>
        <w:t xml:space="preserve"> INEGI (2019a). </w:t>
      </w:r>
      <w:r w:rsidRPr="00C874EC">
        <w:rPr>
          <w:rFonts w:ascii="Arial" w:hAnsi="Arial" w:cs="Arial"/>
          <w:i/>
        </w:rPr>
        <w:t>Encuesta Nacional de Ocupación y Empleo (ENOE), 4to trimestre de 2018</w:t>
      </w:r>
      <w:r w:rsidRPr="00C874EC">
        <w:rPr>
          <w:rFonts w:ascii="Arial" w:hAnsi="Arial" w:cs="Arial"/>
        </w:rPr>
        <w:t>. Consultado el 26/03/2019 de https://www.inegi.org.mx/programas/enoe/15ymas/default.html</w:t>
      </w:r>
    </w:p>
  </w:footnote>
  <w:footnote w:id="98">
    <w:p w14:paraId="31DA0ED1" w14:textId="77777777" w:rsidR="0062369B" w:rsidRPr="00C874EC" w:rsidRDefault="0062369B" w:rsidP="000639E0">
      <w:pPr>
        <w:pStyle w:val="Textonotapie"/>
        <w:ind w:left="227" w:hanging="227"/>
        <w:rPr>
          <w:rFonts w:ascii="Arial" w:hAnsi="Arial" w:cs="Arial"/>
        </w:rPr>
      </w:pPr>
      <w:r w:rsidRPr="001472B8">
        <w:rPr>
          <w:rStyle w:val="Refdenotaalpie"/>
          <w:rFonts w:ascii="Arial" w:hAnsi="Arial" w:cs="Arial"/>
        </w:rPr>
        <w:footnoteRef/>
      </w:r>
      <w:r w:rsidRPr="001472B8">
        <w:rPr>
          <w:rFonts w:ascii="Arial" w:hAnsi="Arial" w:cs="Arial"/>
        </w:rPr>
        <w:t xml:space="preserve"> </w:t>
      </w:r>
      <w:r w:rsidRPr="00C874EC">
        <w:rPr>
          <w:rFonts w:ascii="Arial" w:hAnsi="Arial" w:cs="Arial"/>
        </w:rPr>
        <w:t xml:space="preserve">Nigenda, G., Alcalde, J., González, L., Serván, E., García, S., Lozano, R. (2016). Eficiencia de los recursos humanos en salud: una aproximación a su análisis en México. </w:t>
      </w:r>
      <w:r w:rsidRPr="00C874EC">
        <w:rPr>
          <w:rFonts w:ascii="Arial" w:hAnsi="Arial" w:cs="Arial"/>
          <w:i/>
        </w:rPr>
        <w:t>Salud Pública de México</w:t>
      </w:r>
      <w:r w:rsidRPr="00C874EC">
        <w:rPr>
          <w:rFonts w:ascii="Arial" w:hAnsi="Arial" w:cs="Arial"/>
        </w:rPr>
        <w:t>, vol. 58 (5), pp. 533-542.</w:t>
      </w:r>
    </w:p>
  </w:footnote>
  <w:footnote w:id="99">
    <w:p w14:paraId="15772D2A" w14:textId="77777777" w:rsidR="0062369B" w:rsidRPr="00C874EC" w:rsidRDefault="0062369B" w:rsidP="000639E0">
      <w:pPr>
        <w:pStyle w:val="Textonotapie"/>
        <w:ind w:left="227" w:hanging="227"/>
        <w:rPr>
          <w:rFonts w:ascii="Arial" w:hAnsi="Arial" w:cs="Arial"/>
        </w:rPr>
      </w:pPr>
      <w:r w:rsidRPr="00C874EC">
        <w:rPr>
          <w:rStyle w:val="Refdenotaalpie"/>
          <w:rFonts w:ascii="Arial" w:hAnsi="Arial" w:cs="Arial"/>
        </w:rPr>
        <w:footnoteRef/>
      </w:r>
      <w:r w:rsidRPr="00C874EC">
        <w:rPr>
          <w:rFonts w:ascii="Arial" w:hAnsi="Arial" w:cs="Arial"/>
        </w:rPr>
        <w:t xml:space="preserve"> Hernández, E., Solís, R., Stefanovich, A. (2012). Análisis del equilibrio entre oferta y demanda de profesionistas en el período 2001-2009. En </w:t>
      </w:r>
      <w:r w:rsidRPr="00C874EC">
        <w:rPr>
          <w:rFonts w:ascii="Arial" w:hAnsi="Arial" w:cs="Arial"/>
          <w:i/>
        </w:rPr>
        <w:t>Mercado laboral de profesionistas en México. Diagnóstico (2000-2009) y prospectiva (2010-2020)</w:t>
      </w:r>
      <w:r w:rsidRPr="00C874EC">
        <w:rPr>
          <w:rFonts w:ascii="Arial" w:hAnsi="Arial" w:cs="Arial"/>
        </w:rPr>
        <w:t xml:space="preserve"> (pp. 251-267), E. Hernández (Coord.). Asociación Nacional de Universidades e Instituciones de Educación Superior; Ciudad de México. </w:t>
      </w:r>
    </w:p>
  </w:footnote>
  <w:footnote w:id="100">
    <w:p w14:paraId="180C5171" w14:textId="77777777" w:rsidR="0062369B" w:rsidRPr="001472B8" w:rsidRDefault="0062369B" w:rsidP="005B44CA">
      <w:pPr>
        <w:pStyle w:val="Textonotapie"/>
        <w:rPr>
          <w:rFonts w:ascii="Arial" w:hAnsi="Arial" w:cs="Arial"/>
        </w:rPr>
      </w:pPr>
      <w:r w:rsidRPr="00C874EC">
        <w:rPr>
          <w:rStyle w:val="Refdenotaalpie"/>
          <w:rFonts w:ascii="Arial" w:hAnsi="Arial" w:cs="Arial"/>
        </w:rPr>
        <w:footnoteRef/>
      </w:r>
      <w:r w:rsidRPr="00C874EC">
        <w:rPr>
          <w:rFonts w:ascii="Arial" w:hAnsi="Arial" w:cs="Arial"/>
        </w:rPr>
        <w:t xml:space="preserve"> INEGI (2019a), </w:t>
      </w:r>
      <w:r w:rsidRPr="00C874EC">
        <w:rPr>
          <w:rFonts w:ascii="Arial" w:hAnsi="Arial" w:cs="Arial"/>
          <w:i/>
        </w:rPr>
        <w:t>op. cit.</w:t>
      </w:r>
      <w:r w:rsidRPr="00C874EC">
        <w:rPr>
          <w:rFonts w:ascii="Arial" w:hAnsi="Arial" w:cs="Arial"/>
        </w:rPr>
        <w:t>, s.p.</w:t>
      </w:r>
    </w:p>
  </w:footnote>
  <w:footnote w:id="101">
    <w:p w14:paraId="2B9D23D5" w14:textId="77777777" w:rsidR="0062369B" w:rsidRPr="00390486" w:rsidRDefault="0062369B" w:rsidP="005B44CA">
      <w:pPr>
        <w:pStyle w:val="Textonotapie"/>
        <w:rPr>
          <w:rFonts w:ascii="Arial" w:hAnsi="Arial" w:cs="Arial"/>
        </w:rPr>
      </w:pPr>
      <w:r w:rsidRPr="00390486">
        <w:rPr>
          <w:rStyle w:val="Refdenotaalpie"/>
          <w:rFonts w:ascii="Arial" w:hAnsi="Arial" w:cs="Arial"/>
        </w:rPr>
        <w:footnoteRef/>
      </w:r>
      <w:r w:rsidRPr="00390486">
        <w:rPr>
          <w:rFonts w:ascii="Arial" w:hAnsi="Arial" w:cs="Arial"/>
        </w:rPr>
        <w:t xml:space="preserve"> </w:t>
      </w:r>
      <w:r w:rsidRPr="00390486">
        <w:rPr>
          <w:rFonts w:ascii="Arial" w:hAnsi="Arial" w:cs="Arial"/>
          <w:i/>
        </w:rPr>
        <w:t>Ibídem</w:t>
      </w:r>
      <w:r w:rsidRPr="00390486">
        <w:rPr>
          <w:rFonts w:ascii="Arial" w:hAnsi="Arial" w:cs="Arial"/>
        </w:rPr>
        <w:t>.</w:t>
      </w:r>
    </w:p>
  </w:footnote>
  <w:footnote w:id="102">
    <w:p w14:paraId="46747CAB" w14:textId="77777777" w:rsidR="0062369B" w:rsidRPr="00390486" w:rsidRDefault="0062369B" w:rsidP="005B44CA">
      <w:pPr>
        <w:pStyle w:val="Textonotapie"/>
        <w:rPr>
          <w:rFonts w:ascii="Arial" w:hAnsi="Arial" w:cs="Arial"/>
        </w:rPr>
      </w:pPr>
      <w:r w:rsidRPr="00390486">
        <w:rPr>
          <w:rStyle w:val="Refdenotaalpie"/>
          <w:rFonts w:ascii="Arial" w:hAnsi="Arial" w:cs="Arial"/>
        </w:rPr>
        <w:footnoteRef/>
      </w:r>
      <w:r w:rsidRPr="00390486">
        <w:rPr>
          <w:rFonts w:ascii="Arial" w:hAnsi="Arial" w:cs="Arial"/>
        </w:rPr>
        <w:t xml:space="preserve"> </w:t>
      </w:r>
      <w:r w:rsidRPr="00390486">
        <w:rPr>
          <w:rFonts w:ascii="Arial" w:hAnsi="Arial" w:cs="Arial"/>
          <w:i/>
        </w:rPr>
        <w:t>Ibídem</w:t>
      </w:r>
      <w:r w:rsidRPr="00390486">
        <w:rPr>
          <w:rFonts w:ascii="Arial" w:hAnsi="Arial" w:cs="Arial"/>
        </w:rPr>
        <w:t>.</w:t>
      </w:r>
    </w:p>
  </w:footnote>
  <w:footnote w:id="103">
    <w:p w14:paraId="23238231" w14:textId="74B21199" w:rsidR="0062369B" w:rsidRDefault="0062369B" w:rsidP="000639E0">
      <w:pPr>
        <w:pStyle w:val="Textonotapie"/>
        <w:ind w:left="227" w:hanging="227"/>
      </w:pPr>
      <w:r w:rsidRPr="00C874EC">
        <w:rPr>
          <w:rStyle w:val="Refdenotaalpie"/>
        </w:rPr>
        <w:footnoteRef/>
      </w:r>
      <w:r w:rsidRPr="00C874EC">
        <w:t xml:space="preserve"> </w:t>
      </w:r>
      <w:r w:rsidRPr="00C874EC">
        <w:rPr>
          <w:rFonts w:ascii="Arial" w:hAnsi="Arial" w:cs="Arial"/>
        </w:rPr>
        <w:t xml:space="preserve">Instituto Nacional de Salud Pública (2017). </w:t>
      </w:r>
      <w:r w:rsidRPr="00C874EC">
        <w:rPr>
          <w:rFonts w:ascii="Arial" w:hAnsi="Arial" w:cs="Arial"/>
          <w:i/>
        </w:rPr>
        <w:t xml:space="preserve">Brechas en la disponibilidad de médicos y enfermeras especialistas en el sistema nacional de salud. </w:t>
      </w:r>
      <w:r w:rsidRPr="00C874EC">
        <w:rPr>
          <w:rFonts w:ascii="Arial" w:hAnsi="Arial" w:cs="Arial"/>
        </w:rPr>
        <w:t>México. [En línea]. http://www.cifrhs.salud.gob.mx/site1/residencias/brechas_medico_enf_esp.pdf [Consulta el 14 de diciembre de 2018].</w:t>
      </w:r>
    </w:p>
  </w:footnote>
  <w:footnote w:id="104">
    <w:p w14:paraId="30D3B258" w14:textId="73BE0A73" w:rsidR="0062369B" w:rsidRDefault="0062369B" w:rsidP="000639E0">
      <w:pPr>
        <w:pStyle w:val="Textonotapie"/>
        <w:ind w:left="227" w:hanging="227"/>
      </w:pPr>
      <w:r w:rsidRPr="00C874EC">
        <w:rPr>
          <w:rStyle w:val="Refdenotaalpie"/>
          <w:rFonts w:ascii="Arial" w:hAnsi="Arial" w:cs="Arial"/>
        </w:rPr>
        <w:footnoteRef/>
      </w:r>
      <w:r w:rsidRPr="00C874EC">
        <w:t xml:space="preserve"> </w:t>
      </w:r>
      <w:r w:rsidRPr="00C874EC">
        <w:rPr>
          <w:rFonts w:ascii="Arial" w:hAnsi="Arial" w:cs="Arial"/>
        </w:rPr>
        <w:t xml:space="preserve">Fajardo, G. </w:t>
      </w:r>
      <w:r w:rsidRPr="00C874EC">
        <w:rPr>
          <w:rFonts w:ascii="Arial" w:hAnsi="Arial" w:cs="Arial"/>
          <w:i/>
        </w:rPr>
        <w:t xml:space="preserve">et al. </w:t>
      </w:r>
      <w:r w:rsidRPr="00C874EC">
        <w:rPr>
          <w:rFonts w:ascii="Arial" w:hAnsi="Arial" w:cs="Arial"/>
        </w:rPr>
        <w:t xml:space="preserve">(2015). </w:t>
      </w:r>
      <w:r w:rsidRPr="00C874EC">
        <w:rPr>
          <w:rFonts w:ascii="Arial" w:hAnsi="Arial" w:cs="Arial"/>
          <w:i/>
        </w:rPr>
        <w:t xml:space="preserve">La formación de médicos especialistas en México. </w:t>
      </w:r>
      <w:r w:rsidRPr="00C874EC">
        <w:rPr>
          <w:rFonts w:ascii="Arial" w:hAnsi="Arial" w:cs="Arial"/>
        </w:rPr>
        <w:t>México: Academia Nacional de Medicina.</w:t>
      </w:r>
    </w:p>
  </w:footnote>
  <w:footnote w:id="105">
    <w:p w14:paraId="787F1EB8" w14:textId="7DD33478" w:rsidR="0062369B" w:rsidRDefault="0062369B" w:rsidP="000639E0">
      <w:pPr>
        <w:pStyle w:val="Textonotapie"/>
        <w:ind w:left="227" w:hanging="227"/>
      </w:pPr>
      <w:r w:rsidRPr="00EB0F65">
        <w:rPr>
          <w:rStyle w:val="Refdenotaalpie"/>
        </w:rPr>
        <w:footnoteRef/>
      </w:r>
      <w:r w:rsidRPr="00EB0F65">
        <w:t xml:space="preserve"> </w:t>
      </w:r>
      <w:r w:rsidRPr="00EB0F65">
        <w:rPr>
          <w:rFonts w:ascii="Arial" w:hAnsi="Arial" w:cs="Arial"/>
        </w:rPr>
        <w:t xml:space="preserve">Guevara, J. S. (2017). Retos y Avances de la Neonatología en México. México: Agencia Informativa CONACYT. [En línea]. </w:t>
      </w:r>
      <w:hyperlink r:id="rId1" w:history="1">
        <w:r w:rsidR="00EB0F65" w:rsidRPr="00EB0F65">
          <w:rPr>
            <w:rFonts w:ascii="Arial" w:hAnsi="Arial" w:cs="Arial"/>
          </w:rPr>
          <w:t>http://www.cienciamx.com/index.php/ciencia/salud/13201-retos-y-avances-neonatologia-mexico</w:t>
        </w:r>
      </w:hyperlink>
      <w:r w:rsidRPr="00EB0F65">
        <w:rPr>
          <w:rFonts w:ascii="Arial" w:hAnsi="Arial" w:cs="Arial"/>
        </w:rPr>
        <w:t xml:space="preserve"> [Consulta el 12 de febrero de 2019].</w:t>
      </w:r>
      <w:r w:rsidRPr="00063D0E">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33535" w14:textId="6929D36F" w:rsidR="0062369B" w:rsidRDefault="0062369B" w:rsidP="007F2637">
    <w:pPr>
      <w:pStyle w:val="Encabezado"/>
      <w:tabs>
        <w:tab w:val="clear" w:pos="4419"/>
        <w:tab w:val="clear" w:pos="8838"/>
        <w:tab w:val="left" w:pos="1311"/>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00957"/>
    <w:multiLevelType w:val="hybridMultilevel"/>
    <w:tmpl w:val="7572F480"/>
    <w:lvl w:ilvl="0" w:tplc="CBA28AB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A8B473E"/>
    <w:multiLevelType w:val="hybridMultilevel"/>
    <w:tmpl w:val="C68A345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03D5635"/>
    <w:multiLevelType w:val="hybridMultilevel"/>
    <w:tmpl w:val="68D42880"/>
    <w:lvl w:ilvl="0" w:tplc="B7F4C4E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1C32FE3"/>
    <w:multiLevelType w:val="hybridMultilevel"/>
    <w:tmpl w:val="CC186D1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D732F3B"/>
    <w:multiLevelType w:val="hybridMultilevel"/>
    <w:tmpl w:val="2BA00C9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51200C67"/>
    <w:multiLevelType w:val="hybridMultilevel"/>
    <w:tmpl w:val="D5C816C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79B43879"/>
    <w:multiLevelType w:val="hybridMultilevel"/>
    <w:tmpl w:val="7D4A03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0"/>
  </w:num>
  <w:num w:numId="4">
    <w:abstractNumId w:val="1"/>
  </w:num>
  <w:num w:numId="5">
    <w:abstractNumId w:val="5"/>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7A8"/>
    <w:rsid w:val="00006613"/>
    <w:rsid w:val="000072F7"/>
    <w:rsid w:val="00010DAC"/>
    <w:rsid w:val="00024903"/>
    <w:rsid w:val="00025AAE"/>
    <w:rsid w:val="00026FDE"/>
    <w:rsid w:val="00027BC6"/>
    <w:rsid w:val="000369A6"/>
    <w:rsid w:val="00041E44"/>
    <w:rsid w:val="00045356"/>
    <w:rsid w:val="00047ED0"/>
    <w:rsid w:val="000522F3"/>
    <w:rsid w:val="00053DB1"/>
    <w:rsid w:val="00056961"/>
    <w:rsid w:val="0005744D"/>
    <w:rsid w:val="00063193"/>
    <w:rsid w:val="000639E0"/>
    <w:rsid w:val="00063D0E"/>
    <w:rsid w:val="0007056C"/>
    <w:rsid w:val="00071E6F"/>
    <w:rsid w:val="000723A0"/>
    <w:rsid w:val="00075C3B"/>
    <w:rsid w:val="00081B45"/>
    <w:rsid w:val="00082F49"/>
    <w:rsid w:val="000832E9"/>
    <w:rsid w:val="00093CD0"/>
    <w:rsid w:val="00094B9E"/>
    <w:rsid w:val="000A3A3C"/>
    <w:rsid w:val="000A5F5C"/>
    <w:rsid w:val="000A626E"/>
    <w:rsid w:val="000B7BD1"/>
    <w:rsid w:val="000C49BF"/>
    <w:rsid w:val="000D35A1"/>
    <w:rsid w:val="000E18B4"/>
    <w:rsid w:val="000E19B0"/>
    <w:rsid w:val="000E4DEE"/>
    <w:rsid w:val="000F4E6C"/>
    <w:rsid w:val="000F6F1D"/>
    <w:rsid w:val="0011232C"/>
    <w:rsid w:val="0011634E"/>
    <w:rsid w:val="00141799"/>
    <w:rsid w:val="00143352"/>
    <w:rsid w:val="00143F9A"/>
    <w:rsid w:val="001472B8"/>
    <w:rsid w:val="001535BB"/>
    <w:rsid w:val="00153EB1"/>
    <w:rsid w:val="00157C1D"/>
    <w:rsid w:val="00167C0E"/>
    <w:rsid w:val="001705C1"/>
    <w:rsid w:val="0017424F"/>
    <w:rsid w:val="001764E1"/>
    <w:rsid w:val="00184227"/>
    <w:rsid w:val="0019648E"/>
    <w:rsid w:val="001A2039"/>
    <w:rsid w:val="001B17C3"/>
    <w:rsid w:val="001B5C0D"/>
    <w:rsid w:val="001B6A90"/>
    <w:rsid w:val="001C305E"/>
    <w:rsid w:val="001C4F2A"/>
    <w:rsid w:val="001D1A17"/>
    <w:rsid w:val="001D6464"/>
    <w:rsid w:val="001E1643"/>
    <w:rsid w:val="001E1A7D"/>
    <w:rsid w:val="001E3EDD"/>
    <w:rsid w:val="00200D27"/>
    <w:rsid w:val="002068A0"/>
    <w:rsid w:val="002206D4"/>
    <w:rsid w:val="0022093B"/>
    <w:rsid w:val="0022194C"/>
    <w:rsid w:val="0022276C"/>
    <w:rsid w:val="002247B4"/>
    <w:rsid w:val="00226B76"/>
    <w:rsid w:val="002409D1"/>
    <w:rsid w:val="00245744"/>
    <w:rsid w:val="00251196"/>
    <w:rsid w:val="00255E84"/>
    <w:rsid w:val="00260B60"/>
    <w:rsid w:val="0026331C"/>
    <w:rsid w:val="00264172"/>
    <w:rsid w:val="0026455A"/>
    <w:rsid w:val="00265088"/>
    <w:rsid w:val="002703BE"/>
    <w:rsid w:val="0027422F"/>
    <w:rsid w:val="002832EC"/>
    <w:rsid w:val="00283358"/>
    <w:rsid w:val="00284D5A"/>
    <w:rsid w:val="002853F8"/>
    <w:rsid w:val="002938E8"/>
    <w:rsid w:val="002969C7"/>
    <w:rsid w:val="002A23A3"/>
    <w:rsid w:val="002A2B5F"/>
    <w:rsid w:val="002A69DE"/>
    <w:rsid w:val="002B1539"/>
    <w:rsid w:val="002B4808"/>
    <w:rsid w:val="002B6765"/>
    <w:rsid w:val="002B7417"/>
    <w:rsid w:val="002C3B99"/>
    <w:rsid w:val="002C56F7"/>
    <w:rsid w:val="002C5A07"/>
    <w:rsid w:val="002D0E04"/>
    <w:rsid w:val="002E1464"/>
    <w:rsid w:val="002E54CE"/>
    <w:rsid w:val="002E614E"/>
    <w:rsid w:val="00303396"/>
    <w:rsid w:val="00305A47"/>
    <w:rsid w:val="003136C8"/>
    <w:rsid w:val="0032015E"/>
    <w:rsid w:val="00330BA9"/>
    <w:rsid w:val="00333BD8"/>
    <w:rsid w:val="00333C17"/>
    <w:rsid w:val="00336BCF"/>
    <w:rsid w:val="0034209C"/>
    <w:rsid w:val="00344BD2"/>
    <w:rsid w:val="003547E4"/>
    <w:rsid w:val="0036094B"/>
    <w:rsid w:val="00367379"/>
    <w:rsid w:val="00371786"/>
    <w:rsid w:val="00372484"/>
    <w:rsid w:val="003806C1"/>
    <w:rsid w:val="00382164"/>
    <w:rsid w:val="003828EF"/>
    <w:rsid w:val="003829C6"/>
    <w:rsid w:val="00384206"/>
    <w:rsid w:val="00390486"/>
    <w:rsid w:val="00392B35"/>
    <w:rsid w:val="00396BFB"/>
    <w:rsid w:val="003A0CA3"/>
    <w:rsid w:val="003B0C89"/>
    <w:rsid w:val="003B3BB4"/>
    <w:rsid w:val="003B69F3"/>
    <w:rsid w:val="003C233F"/>
    <w:rsid w:val="003C287F"/>
    <w:rsid w:val="003C7AF5"/>
    <w:rsid w:val="003D2BA3"/>
    <w:rsid w:val="003D4962"/>
    <w:rsid w:val="003E1A49"/>
    <w:rsid w:val="003F04BE"/>
    <w:rsid w:val="003F1C53"/>
    <w:rsid w:val="003F407C"/>
    <w:rsid w:val="003F54FE"/>
    <w:rsid w:val="00400088"/>
    <w:rsid w:val="004017B6"/>
    <w:rsid w:val="00410931"/>
    <w:rsid w:val="00412EB8"/>
    <w:rsid w:val="0043282C"/>
    <w:rsid w:val="004357A8"/>
    <w:rsid w:val="004361ED"/>
    <w:rsid w:val="00441935"/>
    <w:rsid w:val="004468C6"/>
    <w:rsid w:val="00456F45"/>
    <w:rsid w:val="00461369"/>
    <w:rsid w:val="00461D21"/>
    <w:rsid w:val="004727D4"/>
    <w:rsid w:val="00474BD7"/>
    <w:rsid w:val="00475201"/>
    <w:rsid w:val="004A107D"/>
    <w:rsid w:val="004A128F"/>
    <w:rsid w:val="004A1D76"/>
    <w:rsid w:val="004C364E"/>
    <w:rsid w:val="004C3683"/>
    <w:rsid w:val="004C3DC5"/>
    <w:rsid w:val="004C7871"/>
    <w:rsid w:val="004E4CD6"/>
    <w:rsid w:val="004F0AF5"/>
    <w:rsid w:val="004F6C7B"/>
    <w:rsid w:val="0050349E"/>
    <w:rsid w:val="005264B6"/>
    <w:rsid w:val="00530B9F"/>
    <w:rsid w:val="005440BF"/>
    <w:rsid w:val="0055035B"/>
    <w:rsid w:val="00552393"/>
    <w:rsid w:val="00556024"/>
    <w:rsid w:val="005637EE"/>
    <w:rsid w:val="005770F2"/>
    <w:rsid w:val="00577F0A"/>
    <w:rsid w:val="00583666"/>
    <w:rsid w:val="00590928"/>
    <w:rsid w:val="00593C12"/>
    <w:rsid w:val="005968A3"/>
    <w:rsid w:val="00596B13"/>
    <w:rsid w:val="005A570B"/>
    <w:rsid w:val="005B44CA"/>
    <w:rsid w:val="005B4C39"/>
    <w:rsid w:val="005B6CA1"/>
    <w:rsid w:val="005F4031"/>
    <w:rsid w:val="00603BE8"/>
    <w:rsid w:val="006046FB"/>
    <w:rsid w:val="006054B0"/>
    <w:rsid w:val="00606030"/>
    <w:rsid w:val="00615EF2"/>
    <w:rsid w:val="0062369B"/>
    <w:rsid w:val="00631577"/>
    <w:rsid w:val="00635921"/>
    <w:rsid w:val="0063664A"/>
    <w:rsid w:val="00636985"/>
    <w:rsid w:val="00645D73"/>
    <w:rsid w:val="00645DA0"/>
    <w:rsid w:val="00650A99"/>
    <w:rsid w:val="0065778B"/>
    <w:rsid w:val="006661DF"/>
    <w:rsid w:val="006667D9"/>
    <w:rsid w:val="0068458F"/>
    <w:rsid w:val="00684A82"/>
    <w:rsid w:val="00694704"/>
    <w:rsid w:val="006A0F5B"/>
    <w:rsid w:val="006A7CFA"/>
    <w:rsid w:val="006D1C86"/>
    <w:rsid w:val="006D227A"/>
    <w:rsid w:val="006E55DD"/>
    <w:rsid w:val="006E69B6"/>
    <w:rsid w:val="006E7C0A"/>
    <w:rsid w:val="006F1848"/>
    <w:rsid w:val="00706600"/>
    <w:rsid w:val="0071010C"/>
    <w:rsid w:val="00710849"/>
    <w:rsid w:val="00711DC5"/>
    <w:rsid w:val="007131A5"/>
    <w:rsid w:val="00715A54"/>
    <w:rsid w:val="007170D9"/>
    <w:rsid w:val="00725113"/>
    <w:rsid w:val="00727AB6"/>
    <w:rsid w:val="007362F8"/>
    <w:rsid w:val="007407E4"/>
    <w:rsid w:val="0076036F"/>
    <w:rsid w:val="00775C00"/>
    <w:rsid w:val="007811C6"/>
    <w:rsid w:val="007B43DB"/>
    <w:rsid w:val="007B7468"/>
    <w:rsid w:val="007C0B53"/>
    <w:rsid w:val="007D48C4"/>
    <w:rsid w:val="007E1312"/>
    <w:rsid w:val="007F172D"/>
    <w:rsid w:val="007F2637"/>
    <w:rsid w:val="007F6365"/>
    <w:rsid w:val="007F65B6"/>
    <w:rsid w:val="00801F6F"/>
    <w:rsid w:val="00806FC7"/>
    <w:rsid w:val="00813A8D"/>
    <w:rsid w:val="00814AFB"/>
    <w:rsid w:val="008216E3"/>
    <w:rsid w:val="0082403C"/>
    <w:rsid w:val="008266B7"/>
    <w:rsid w:val="00831454"/>
    <w:rsid w:val="00831EF0"/>
    <w:rsid w:val="00837CCA"/>
    <w:rsid w:val="00841353"/>
    <w:rsid w:val="008554DE"/>
    <w:rsid w:val="008733C1"/>
    <w:rsid w:val="0089066F"/>
    <w:rsid w:val="008A08A7"/>
    <w:rsid w:val="008A3720"/>
    <w:rsid w:val="008A5AB1"/>
    <w:rsid w:val="008B38E4"/>
    <w:rsid w:val="008C1FD6"/>
    <w:rsid w:val="008C4983"/>
    <w:rsid w:val="008D27F5"/>
    <w:rsid w:val="008D368C"/>
    <w:rsid w:val="008D4BD0"/>
    <w:rsid w:val="008E007C"/>
    <w:rsid w:val="008E3000"/>
    <w:rsid w:val="008E4D2C"/>
    <w:rsid w:val="008F5974"/>
    <w:rsid w:val="009025AA"/>
    <w:rsid w:val="00905371"/>
    <w:rsid w:val="009145A0"/>
    <w:rsid w:val="00917EDF"/>
    <w:rsid w:val="0092117C"/>
    <w:rsid w:val="00935B01"/>
    <w:rsid w:val="00936774"/>
    <w:rsid w:val="009467EE"/>
    <w:rsid w:val="00947C39"/>
    <w:rsid w:val="009509C2"/>
    <w:rsid w:val="00954059"/>
    <w:rsid w:val="009604E3"/>
    <w:rsid w:val="009663D0"/>
    <w:rsid w:val="00971767"/>
    <w:rsid w:val="00994730"/>
    <w:rsid w:val="009A2D7F"/>
    <w:rsid w:val="009A4EC9"/>
    <w:rsid w:val="009B0692"/>
    <w:rsid w:val="009B3D47"/>
    <w:rsid w:val="009B4BAA"/>
    <w:rsid w:val="009B7DF5"/>
    <w:rsid w:val="009C5BC9"/>
    <w:rsid w:val="009C76FA"/>
    <w:rsid w:val="009D00E1"/>
    <w:rsid w:val="009D182F"/>
    <w:rsid w:val="009D3081"/>
    <w:rsid w:val="009E2218"/>
    <w:rsid w:val="009E5925"/>
    <w:rsid w:val="009E65E0"/>
    <w:rsid w:val="009F3190"/>
    <w:rsid w:val="009F3C46"/>
    <w:rsid w:val="009F3CA1"/>
    <w:rsid w:val="00A0348F"/>
    <w:rsid w:val="00A21EAA"/>
    <w:rsid w:val="00A330B8"/>
    <w:rsid w:val="00A34CFE"/>
    <w:rsid w:val="00A40A9E"/>
    <w:rsid w:val="00A458A8"/>
    <w:rsid w:val="00A530B8"/>
    <w:rsid w:val="00A53AF4"/>
    <w:rsid w:val="00A54C4D"/>
    <w:rsid w:val="00A56019"/>
    <w:rsid w:val="00A63240"/>
    <w:rsid w:val="00A640CE"/>
    <w:rsid w:val="00A732A1"/>
    <w:rsid w:val="00A74D3F"/>
    <w:rsid w:val="00A75077"/>
    <w:rsid w:val="00A7554D"/>
    <w:rsid w:val="00A83698"/>
    <w:rsid w:val="00A83AC0"/>
    <w:rsid w:val="00A87507"/>
    <w:rsid w:val="00A87809"/>
    <w:rsid w:val="00A909D5"/>
    <w:rsid w:val="00AA24F9"/>
    <w:rsid w:val="00AA44B6"/>
    <w:rsid w:val="00AA5FA1"/>
    <w:rsid w:val="00AB37A8"/>
    <w:rsid w:val="00AB51CF"/>
    <w:rsid w:val="00AC75EE"/>
    <w:rsid w:val="00AD1CDD"/>
    <w:rsid w:val="00AD5B52"/>
    <w:rsid w:val="00AD6133"/>
    <w:rsid w:val="00AD7EC7"/>
    <w:rsid w:val="00AE5EC3"/>
    <w:rsid w:val="00AE72B5"/>
    <w:rsid w:val="00AF1127"/>
    <w:rsid w:val="00AF2FC2"/>
    <w:rsid w:val="00B0344A"/>
    <w:rsid w:val="00B0528C"/>
    <w:rsid w:val="00B052C1"/>
    <w:rsid w:val="00B10A12"/>
    <w:rsid w:val="00B117DF"/>
    <w:rsid w:val="00B12CF9"/>
    <w:rsid w:val="00B1790F"/>
    <w:rsid w:val="00B207D0"/>
    <w:rsid w:val="00B22BF7"/>
    <w:rsid w:val="00B25185"/>
    <w:rsid w:val="00B32696"/>
    <w:rsid w:val="00B350E5"/>
    <w:rsid w:val="00B36DD6"/>
    <w:rsid w:val="00B418B4"/>
    <w:rsid w:val="00B47C41"/>
    <w:rsid w:val="00B525E9"/>
    <w:rsid w:val="00B6002F"/>
    <w:rsid w:val="00B6268C"/>
    <w:rsid w:val="00B65400"/>
    <w:rsid w:val="00B7170A"/>
    <w:rsid w:val="00B71FFC"/>
    <w:rsid w:val="00B76410"/>
    <w:rsid w:val="00B833EB"/>
    <w:rsid w:val="00B872BB"/>
    <w:rsid w:val="00B90293"/>
    <w:rsid w:val="00B90EB9"/>
    <w:rsid w:val="00B97C2A"/>
    <w:rsid w:val="00BB156F"/>
    <w:rsid w:val="00BB6B78"/>
    <w:rsid w:val="00BB7A5C"/>
    <w:rsid w:val="00BC0BFD"/>
    <w:rsid w:val="00BC1C54"/>
    <w:rsid w:val="00BC5126"/>
    <w:rsid w:val="00BD160E"/>
    <w:rsid w:val="00BD6FED"/>
    <w:rsid w:val="00BE0125"/>
    <w:rsid w:val="00BE737B"/>
    <w:rsid w:val="00BF11B2"/>
    <w:rsid w:val="00C04120"/>
    <w:rsid w:val="00C07062"/>
    <w:rsid w:val="00C150F3"/>
    <w:rsid w:val="00C3138B"/>
    <w:rsid w:val="00C4058E"/>
    <w:rsid w:val="00C56D65"/>
    <w:rsid w:val="00C7513D"/>
    <w:rsid w:val="00C751CA"/>
    <w:rsid w:val="00C80D67"/>
    <w:rsid w:val="00C84F5B"/>
    <w:rsid w:val="00C874EC"/>
    <w:rsid w:val="00C9214D"/>
    <w:rsid w:val="00CB0602"/>
    <w:rsid w:val="00CB55C7"/>
    <w:rsid w:val="00CC2B32"/>
    <w:rsid w:val="00CC305A"/>
    <w:rsid w:val="00CC45AB"/>
    <w:rsid w:val="00CC5AA9"/>
    <w:rsid w:val="00CC6713"/>
    <w:rsid w:val="00CD01E8"/>
    <w:rsid w:val="00CD25EE"/>
    <w:rsid w:val="00CD282B"/>
    <w:rsid w:val="00CE4425"/>
    <w:rsid w:val="00CE6011"/>
    <w:rsid w:val="00D21B8C"/>
    <w:rsid w:val="00D23750"/>
    <w:rsid w:val="00D27BBB"/>
    <w:rsid w:val="00D45CA4"/>
    <w:rsid w:val="00D4730B"/>
    <w:rsid w:val="00D57F9D"/>
    <w:rsid w:val="00D6078D"/>
    <w:rsid w:val="00D62550"/>
    <w:rsid w:val="00D62B0B"/>
    <w:rsid w:val="00D77E3E"/>
    <w:rsid w:val="00D77FF4"/>
    <w:rsid w:val="00D82CF2"/>
    <w:rsid w:val="00D91DE2"/>
    <w:rsid w:val="00D95763"/>
    <w:rsid w:val="00DA1375"/>
    <w:rsid w:val="00DA284C"/>
    <w:rsid w:val="00DB4549"/>
    <w:rsid w:val="00DB4EE3"/>
    <w:rsid w:val="00DC7B96"/>
    <w:rsid w:val="00DE690D"/>
    <w:rsid w:val="00DE69D4"/>
    <w:rsid w:val="00DF277F"/>
    <w:rsid w:val="00DF4B71"/>
    <w:rsid w:val="00E026C7"/>
    <w:rsid w:val="00E06CD6"/>
    <w:rsid w:val="00E10DBF"/>
    <w:rsid w:val="00E10EFC"/>
    <w:rsid w:val="00E1171A"/>
    <w:rsid w:val="00E1329F"/>
    <w:rsid w:val="00E14942"/>
    <w:rsid w:val="00E21FF4"/>
    <w:rsid w:val="00E32CED"/>
    <w:rsid w:val="00E353AA"/>
    <w:rsid w:val="00E37EF9"/>
    <w:rsid w:val="00E4488F"/>
    <w:rsid w:val="00E4792E"/>
    <w:rsid w:val="00E56FD1"/>
    <w:rsid w:val="00E63425"/>
    <w:rsid w:val="00E67DE1"/>
    <w:rsid w:val="00E858F2"/>
    <w:rsid w:val="00E9230A"/>
    <w:rsid w:val="00E92B53"/>
    <w:rsid w:val="00EA3DF1"/>
    <w:rsid w:val="00EB0F65"/>
    <w:rsid w:val="00EB1FA3"/>
    <w:rsid w:val="00EB3F82"/>
    <w:rsid w:val="00EC4708"/>
    <w:rsid w:val="00EC598D"/>
    <w:rsid w:val="00ED1E77"/>
    <w:rsid w:val="00ED22C8"/>
    <w:rsid w:val="00ED6A2D"/>
    <w:rsid w:val="00EE1EA3"/>
    <w:rsid w:val="00EE7462"/>
    <w:rsid w:val="00EE7491"/>
    <w:rsid w:val="00EF1338"/>
    <w:rsid w:val="00EF2F32"/>
    <w:rsid w:val="00F0130A"/>
    <w:rsid w:val="00F0135F"/>
    <w:rsid w:val="00F02449"/>
    <w:rsid w:val="00F060ED"/>
    <w:rsid w:val="00F06CE0"/>
    <w:rsid w:val="00F110FE"/>
    <w:rsid w:val="00F16767"/>
    <w:rsid w:val="00F24081"/>
    <w:rsid w:val="00F24825"/>
    <w:rsid w:val="00F24CE2"/>
    <w:rsid w:val="00F260F1"/>
    <w:rsid w:val="00F325F4"/>
    <w:rsid w:val="00F34041"/>
    <w:rsid w:val="00F34C2E"/>
    <w:rsid w:val="00F365F3"/>
    <w:rsid w:val="00F36A25"/>
    <w:rsid w:val="00F57F52"/>
    <w:rsid w:val="00F64152"/>
    <w:rsid w:val="00F65085"/>
    <w:rsid w:val="00F675D6"/>
    <w:rsid w:val="00F67D2F"/>
    <w:rsid w:val="00F819D5"/>
    <w:rsid w:val="00F83576"/>
    <w:rsid w:val="00F84BC2"/>
    <w:rsid w:val="00F8627B"/>
    <w:rsid w:val="00F87234"/>
    <w:rsid w:val="00F91681"/>
    <w:rsid w:val="00F92AA1"/>
    <w:rsid w:val="00F9539F"/>
    <w:rsid w:val="00FA08CE"/>
    <w:rsid w:val="00FB4190"/>
    <w:rsid w:val="00FB575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9C1DC0"/>
  <w15:docId w15:val="{75C43F3A-D08F-4212-AC52-36089C75B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68A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unhideWhenUsed/>
    <w:rsid w:val="000E19B0"/>
    <w:pPr>
      <w:spacing w:after="0" w:line="240" w:lineRule="auto"/>
    </w:pPr>
    <w:rPr>
      <w:sz w:val="20"/>
      <w:szCs w:val="20"/>
    </w:rPr>
  </w:style>
  <w:style w:type="character" w:customStyle="1" w:styleId="TextonotapieCar">
    <w:name w:val="Texto nota pie Car"/>
    <w:basedOn w:val="Fuentedeprrafopredeter"/>
    <w:link w:val="Textonotapie"/>
    <w:uiPriority w:val="99"/>
    <w:rsid w:val="000E19B0"/>
    <w:rPr>
      <w:sz w:val="20"/>
      <w:szCs w:val="20"/>
    </w:rPr>
  </w:style>
  <w:style w:type="character" w:styleId="Refdenotaalpie">
    <w:name w:val="footnote reference"/>
    <w:basedOn w:val="Fuentedeprrafopredeter"/>
    <w:uiPriority w:val="99"/>
    <w:unhideWhenUsed/>
    <w:rsid w:val="000E19B0"/>
    <w:rPr>
      <w:vertAlign w:val="superscript"/>
    </w:rPr>
  </w:style>
  <w:style w:type="table" w:styleId="Sombreadoclaro">
    <w:name w:val="Light Shading"/>
    <w:basedOn w:val="Tablanormal"/>
    <w:uiPriority w:val="60"/>
    <w:rsid w:val="00EB3F8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Prrafodelista">
    <w:name w:val="List Paragraph"/>
    <w:basedOn w:val="Normal"/>
    <w:uiPriority w:val="34"/>
    <w:qFormat/>
    <w:rsid w:val="00DB4549"/>
    <w:pPr>
      <w:ind w:left="720"/>
      <w:contextualSpacing/>
    </w:pPr>
  </w:style>
  <w:style w:type="character" w:styleId="Hipervnculo">
    <w:name w:val="Hyperlink"/>
    <w:basedOn w:val="Fuentedeprrafopredeter"/>
    <w:uiPriority w:val="99"/>
    <w:semiHidden/>
    <w:unhideWhenUsed/>
    <w:rsid w:val="002B1539"/>
    <w:rPr>
      <w:color w:val="0000FF"/>
      <w:u w:val="single"/>
    </w:rPr>
  </w:style>
  <w:style w:type="paragraph" w:styleId="Encabezado">
    <w:name w:val="header"/>
    <w:basedOn w:val="Normal"/>
    <w:link w:val="EncabezadoCar"/>
    <w:uiPriority w:val="99"/>
    <w:unhideWhenUsed/>
    <w:rsid w:val="007F2637"/>
    <w:pPr>
      <w:tabs>
        <w:tab w:val="center" w:pos="4419"/>
        <w:tab w:val="right" w:pos="8838"/>
      </w:tabs>
      <w:spacing w:after="0" w:line="240" w:lineRule="auto"/>
    </w:pPr>
    <w:rPr>
      <w:rFonts w:ascii="Calibri" w:hAnsi="Calibri" w:cs="Times New Roman"/>
    </w:rPr>
  </w:style>
  <w:style w:type="character" w:customStyle="1" w:styleId="EncabezadoCar">
    <w:name w:val="Encabezado Car"/>
    <w:basedOn w:val="Fuentedeprrafopredeter"/>
    <w:link w:val="Encabezado"/>
    <w:uiPriority w:val="99"/>
    <w:rsid w:val="007F2637"/>
    <w:rPr>
      <w:rFonts w:ascii="Calibri" w:hAnsi="Calibri" w:cs="Times New Roman"/>
    </w:rPr>
  </w:style>
  <w:style w:type="paragraph" w:styleId="Piedepgina">
    <w:name w:val="footer"/>
    <w:basedOn w:val="Normal"/>
    <w:link w:val="PiedepginaCar"/>
    <w:uiPriority w:val="99"/>
    <w:unhideWhenUsed/>
    <w:rsid w:val="007F2637"/>
    <w:pPr>
      <w:tabs>
        <w:tab w:val="center" w:pos="4419"/>
        <w:tab w:val="right" w:pos="8838"/>
      </w:tabs>
      <w:spacing w:after="0" w:line="240" w:lineRule="auto"/>
    </w:pPr>
    <w:rPr>
      <w:rFonts w:ascii="Calibri" w:hAnsi="Calibri" w:cs="Times New Roman"/>
    </w:rPr>
  </w:style>
  <w:style w:type="character" w:customStyle="1" w:styleId="PiedepginaCar">
    <w:name w:val="Pie de página Car"/>
    <w:basedOn w:val="Fuentedeprrafopredeter"/>
    <w:link w:val="Piedepgina"/>
    <w:uiPriority w:val="99"/>
    <w:rsid w:val="007F2637"/>
    <w:rPr>
      <w:rFonts w:ascii="Calibri" w:hAnsi="Calibri" w:cs="Times New Roman"/>
    </w:rPr>
  </w:style>
  <w:style w:type="character" w:customStyle="1" w:styleId="Hipervnculo1">
    <w:name w:val="Hipervínculo1"/>
    <w:basedOn w:val="Fuentedeprrafopredeter"/>
    <w:uiPriority w:val="99"/>
    <w:unhideWhenUsed/>
    <w:rsid w:val="007F2637"/>
    <w:rPr>
      <w:color w:val="0000FF"/>
      <w:u w:val="single"/>
    </w:rPr>
  </w:style>
  <w:style w:type="paragraph" w:styleId="Textodeglobo">
    <w:name w:val="Balloon Text"/>
    <w:basedOn w:val="Normal"/>
    <w:link w:val="TextodegloboCar"/>
    <w:uiPriority w:val="99"/>
    <w:semiHidden/>
    <w:unhideWhenUsed/>
    <w:rsid w:val="007F263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F2637"/>
    <w:rPr>
      <w:rFonts w:ascii="Tahoma" w:hAnsi="Tahoma" w:cs="Tahoma"/>
      <w:sz w:val="16"/>
      <w:szCs w:val="16"/>
    </w:rPr>
  </w:style>
  <w:style w:type="paragraph" w:customStyle="1" w:styleId="Texto">
    <w:name w:val="Texto"/>
    <w:basedOn w:val="Normal"/>
    <w:link w:val="TextoCar"/>
    <w:rsid w:val="00CE6011"/>
    <w:pPr>
      <w:spacing w:after="101" w:line="216" w:lineRule="exact"/>
      <w:ind w:firstLine="288"/>
      <w:jc w:val="both"/>
    </w:pPr>
    <w:rPr>
      <w:rFonts w:ascii="Arial" w:eastAsia="Times New Roman" w:hAnsi="Arial" w:cs="Arial"/>
      <w:sz w:val="18"/>
      <w:szCs w:val="18"/>
      <w:lang w:val="es-ES" w:eastAsia="es-ES"/>
    </w:rPr>
  </w:style>
  <w:style w:type="character" w:customStyle="1" w:styleId="TextoCar">
    <w:name w:val="Texto Car"/>
    <w:basedOn w:val="Fuentedeprrafopredeter"/>
    <w:link w:val="Texto"/>
    <w:rsid w:val="00CE6011"/>
    <w:rPr>
      <w:rFonts w:ascii="Arial" w:eastAsia="Times New Roman" w:hAnsi="Arial" w:cs="Arial"/>
      <w:sz w:val="18"/>
      <w:szCs w:val="18"/>
      <w:lang w:val="es-ES" w:eastAsia="es-ES"/>
    </w:rPr>
  </w:style>
  <w:style w:type="table" w:styleId="Tablaconcuadrcula">
    <w:name w:val="Table Grid"/>
    <w:basedOn w:val="Tablanormal"/>
    <w:uiPriority w:val="39"/>
    <w:rsid w:val="00A458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D82CF2"/>
    <w:pPr>
      <w:spacing w:after="0" w:line="240" w:lineRule="auto"/>
    </w:pPr>
  </w:style>
  <w:style w:type="paragraph" w:customStyle="1" w:styleId="Default">
    <w:name w:val="Default"/>
    <w:rsid w:val="00D82CF2"/>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559945">
      <w:bodyDiv w:val="1"/>
      <w:marLeft w:val="0"/>
      <w:marRight w:val="0"/>
      <w:marTop w:val="0"/>
      <w:marBottom w:val="0"/>
      <w:divBdr>
        <w:top w:val="none" w:sz="0" w:space="0" w:color="auto"/>
        <w:left w:val="none" w:sz="0" w:space="0" w:color="auto"/>
        <w:bottom w:val="none" w:sz="0" w:space="0" w:color="auto"/>
        <w:right w:val="none" w:sz="0" w:space="0" w:color="auto"/>
      </w:divBdr>
    </w:div>
    <w:div w:id="688798317">
      <w:bodyDiv w:val="1"/>
      <w:marLeft w:val="0"/>
      <w:marRight w:val="0"/>
      <w:marTop w:val="0"/>
      <w:marBottom w:val="0"/>
      <w:divBdr>
        <w:top w:val="none" w:sz="0" w:space="0" w:color="auto"/>
        <w:left w:val="none" w:sz="0" w:space="0" w:color="auto"/>
        <w:bottom w:val="none" w:sz="0" w:space="0" w:color="auto"/>
        <w:right w:val="none" w:sz="0" w:space="0" w:color="auto"/>
      </w:divBdr>
    </w:div>
    <w:div w:id="880947188">
      <w:bodyDiv w:val="1"/>
      <w:marLeft w:val="0"/>
      <w:marRight w:val="0"/>
      <w:marTop w:val="0"/>
      <w:marBottom w:val="0"/>
      <w:divBdr>
        <w:top w:val="none" w:sz="0" w:space="0" w:color="auto"/>
        <w:left w:val="none" w:sz="0" w:space="0" w:color="auto"/>
        <w:bottom w:val="none" w:sz="0" w:space="0" w:color="auto"/>
        <w:right w:val="none" w:sz="0" w:space="0" w:color="auto"/>
      </w:divBdr>
    </w:div>
    <w:div w:id="1361584963">
      <w:bodyDiv w:val="1"/>
      <w:marLeft w:val="0"/>
      <w:marRight w:val="0"/>
      <w:marTop w:val="0"/>
      <w:marBottom w:val="0"/>
      <w:divBdr>
        <w:top w:val="none" w:sz="0" w:space="0" w:color="auto"/>
        <w:left w:val="none" w:sz="0" w:space="0" w:color="auto"/>
        <w:bottom w:val="none" w:sz="0" w:space="0" w:color="auto"/>
        <w:right w:val="none" w:sz="0" w:space="0" w:color="auto"/>
      </w:divBdr>
      <w:divsChild>
        <w:div w:id="510992584">
          <w:marLeft w:val="0"/>
          <w:marRight w:val="0"/>
          <w:marTop w:val="0"/>
          <w:marBottom w:val="0"/>
          <w:divBdr>
            <w:top w:val="none" w:sz="0" w:space="0" w:color="auto"/>
            <w:left w:val="none" w:sz="0" w:space="0" w:color="auto"/>
            <w:bottom w:val="none" w:sz="0" w:space="0" w:color="auto"/>
            <w:right w:val="none" w:sz="0" w:space="0" w:color="auto"/>
          </w:divBdr>
        </w:div>
        <w:div w:id="596913579">
          <w:marLeft w:val="0"/>
          <w:marRight w:val="0"/>
          <w:marTop w:val="0"/>
          <w:marBottom w:val="0"/>
          <w:divBdr>
            <w:top w:val="none" w:sz="0" w:space="0" w:color="auto"/>
            <w:left w:val="none" w:sz="0" w:space="0" w:color="auto"/>
            <w:bottom w:val="none" w:sz="0" w:space="0" w:color="auto"/>
            <w:right w:val="none" w:sz="0" w:space="0" w:color="auto"/>
          </w:divBdr>
        </w:div>
        <w:div w:id="296374249">
          <w:marLeft w:val="0"/>
          <w:marRight w:val="0"/>
          <w:marTop w:val="0"/>
          <w:marBottom w:val="0"/>
          <w:divBdr>
            <w:top w:val="none" w:sz="0" w:space="0" w:color="auto"/>
            <w:left w:val="none" w:sz="0" w:space="0" w:color="auto"/>
            <w:bottom w:val="none" w:sz="0" w:space="0" w:color="auto"/>
            <w:right w:val="none" w:sz="0" w:space="0" w:color="auto"/>
          </w:divBdr>
        </w:div>
        <w:div w:id="1316297902">
          <w:marLeft w:val="0"/>
          <w:marRight w:val="0"/>
          <w:marTop w:val="0"/>
          <w:marBottom w:val="0"/>
          <w:divBdr>
            <w:top w:val="none" w:sz="0" w:space="0" w:color="auto"/>
            <w:left w:val="none" w:sz="0" w:space="0" w:color="auto"/>
            <w:bottom w:val="none" w:sz="0" w:space="0" w:color="auto"/>
            <w:right w:val="none" w:sz="0" w:space="0" w:color="auto"/>
          </w:divBdr>
        </w:div>
      </w:divsChild>
    </w:div>
    <w:div w:id="1530528570">
      <w:bodyDiv w:val="1"/>
      <w:marLeft w:val="0"/>
      <w:marRight w:val="0"/>
      <w:marTop w:val="0"/>
      <w:marBottom w:val="0"/>
      <w:divBdr>
        <w:top w:val="none" w:sz="0" w:space="0" w:color="auto"/>
        <w:left w:val="none" w:sz="0" w:space="0" w:color="auto"/>
        <w:bottom w:val="none" w:sz="0" w:space="0" w:color="auto"/>
        <w:right w:val="none" w:sz="0" w:space="0" w:color="auto"/>
      </w:divBdr>
    </w:div>
    <w:div w:id="1858229819">
      <w:bodyDiv w:val="1"/>
      <w:marLeft w:val="0"/>
      <w:marRight w:val="0"/>
      <w:marTop w:val="0"/>
      <w:marBottom w:val="0"/>
      <w:divBdr>
        <w:top w:val="none" w:sz="0" w:space="0" w:color="auto"/>
        <w:left w:val="none" w:sz="0" w:space="0" w:color="auto"/>
        <w:bottom w:val="none" w:sz="0" w:space="0" w:color="auto"/>
        <w:right w:val="none" w:sz="0" w:space="0" w:color="auto"/>
      </w:divBdr>
    </w:div>
    <w:div w:id="189565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26" Type="http://schemas.openxmlformats.org/officeDocument/2006/relationships/chart" Target="charts/chart12.xml"/><Relationship Id="rId3" Type="http://schemas.openxmlformats.org/officeDocument/2006/relationships/customXml" Target="../customXml/item3.xml"/><Relationship Id="rId21" Type="http://schemas.openxmlformats.org/officeDocument/2006/relationships/chart" Target="charts/chart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hart" Target="charts/chart4.xml"/><Relationship Id="rId25" Type="http://schemas.openxmlformats.org/officeDocument/2006/relationships/chart" Target="charts/chart11.xml"/><Relationship Id="rId2" Type="http://schemas.openxmlformats.org/officeDocument/2006/relationships/customXml" Target="../customXml/item2.xml"/><Relationship Id="rId16" Type="http://schemas.openxmlformats.org/officeDocument/2006/relationships/chart" Target="charts/chart3.xml"/><Relationship Id="rId20" Type="http://schemas.openxmlformats.org/officeDocument/2006/relationships/chart" Target="charts/chart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chart" Target="charts/chart10.xml"/><Relationship Id="rId5" Type="http://schemas.openxmlformats.org/officeDocument/2006/relationships/numbering" Target="numbering.xml"/><Relationship Id="rId15" Type="http://schemas.openxmlformats.org/officeDocument/2006/relationships/chart" Target="charts/chart2.xml"/><Relationship Id="rId23" Type="http://schemas.openxmlformats.org/officeDocument/2006/relationships/chart" Target="charts/chart9.xml"/><Relationship Id="rId28" Type="http://schemas.openxmlformats.org/officeDocument/2006/relationships/hyperlink" Target="http://www.cienciamx.com/index.php/ciencia/salud/13201-retos-y-avances-neonatologia-mexico" TargetMode="External"/><Relationship Id="rId10" Type="http://schemas.openxmlformats.org/officeDocument/2006/relationships/endnotes" Target="endnotes.xml"/><Relationship Id="rId19" Type="http://schemas.openxmlformats.org/officeDocument/2006/relationships/chart" Target="charts/chart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1.xml"/><Relationship Id="rId22" Type="http://schemas.openxmlformats.org/officeDocument/2006/relationships/chart" Target="charts/chart8.xml"/><Relationship Id="rId27" Type="http://schemas.openxmlformats.org/officeDocument/2006/relationships/chart" Target="charts/chart13.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cienciamx.com/index.php/ciencia/salud/13201-retos-y-avances-neonatologia-mexico"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D:\Users\ad014629\Downloads\pob_mit_proyecciones%20(2).csv"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11.xml.rels><?xml version="1.0" encoding="UTF-8" standalone="yes"?>
<Relationships xmlns="http://schemas.openxmlformats.org/package/2006/relationships"><Relationship Id="rId3" Type="http://schemas.openxmlformats.org/officeDocument/2006/relationships/oleObject" Target="https://lasallemx-my.sharepoint.com/personal/jessica_zaragoza_lasalle_mx/Documents/Documents/Facultades/Facultad%20Mexicana%20de%20Medicina/2018/Especialidades/Neonatologia/Busqueda%20cuantitativa%20Neonato.xls" TargetMode="External"/><Relationship Id="rId2" Type="http://schemas.microsoft.com/office/2011/relationships/chartColorStyle" Target="colors6.xml"/><Relationship Id="rId1" Type="http://schemas.microsoft.com/office/2011/relationships/chartStyle" Target="style6.xml"/></Relationships>
</file>

<file path=word/charts/_rels/chart12.xml.rels><?xml version="1.0" encoding="UTF-8" standalone="yes"?>
<Relationships xmlns="http://schemas.openxmlformats.org/package/2006/relationships"><Relationship Id="rId1" Type="http://schemas.openxmlformats.org/officeDocument/2006/relationships/oleObject" Target="https://lasallemx-my.sharepoint.com/personal/jessica_zaragoza_lasalle_mx/Documents/Documents/Facultades/Facultad%20Mexicana%20de%20Medicina/2018/Especialidades/Neonatologia/Busqueda%20cuantitativa%20Neonato.xls" TargetMode="External"/></Relationships>
</file>

<file path=word/charts/_rels/chart13.xml.rels><?xml version="1.0" encoding="UTF-8" standalone="yes"?>
<Relationships xmlns="http://schemas.openxmlformats.org/package/2006/relationships"><Relationship Id="rId3" Type="http://schemas.openxmlformats.org/officeDocument/2006/relationships/package" Target="../embeddings/Hoja_de_c_lculo_de_Microsoft_Excel.xlsx"/><Relationship Id="rId2" Type="http://schemas.microsoft.com/office/2011/relationships/chartColorStyle" Target="colors7.xml"/><Relationship Id="rId1" Type="http://schemas.microsoft.com/office/2011/relationships/chartStyle" Target="style7.xml"/></Relationships>
</file>

<file path=word/charts/_rels/chart2.xml.rels><?xml version="1.0" encoding="UTF-8" standalone="yes"?>
<Relationships xmlns="http://schemas.openxmlformats.org/package/2006/relationships"><Relationship Id="rId3" Type="http://schemas.openxmlformats.org/officeDocument/2006/relationships/oleObject" Target="Libro2"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D:\Users\ad014629\Downloads\f4eb3b93-e8f0-4887-804c-0f65ac4417bb.xls"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D:\Users\ad014629\Downloads\f4eb3b93-e8f0-4887-804c-0f65ac4417bb.xls"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1" Type="http://schemas.openxmlformats.org/officeDocument/2006/relationships/oleObject" Target="file:///D:\Users\ad014629\Downloads\DP_LIVE_15032019000600520.csv"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Users\ad014629\Documents\enarm.xlsx" TargetMode="External"/></Relationships>
</file>

<file path=word/charts/_rels/chart7.xml.rels><?xml version="1.0" encoding="UTF-8" standalone="yes"?>
<Relationships xmlns="http://schemas.openxmlformats.org/package/2006/relationships"><Relationship Id="rId3" Type="http://schemas.openxmlformats.org/officeDocument/2006/relationships/oleObject" Target="file:///D:\Users\ad014629\Documents\enarm.xlsx" TargetMode="External"/><Relationship Id="rId2" Type="http://schemas.microsoft.com/office/2011/relationships/chartColorStyle" Target="colors5.xml"/><Relationship Id="rId1" Type="http://schemas.microsoft.com/office/2011/relationships/chartStyle" Target="style5.xml"/></Relationships>
</file>

<file path=word/charts/_rels/chart8.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Hoja2!$N$6</c:f>
              <c:strCache>
                <c:ptCount val="1"/>
                <c:pt idx="0">
                  <c:v>Mujeres 2019</c:v>
                </c:pt>
              </c:strCache>
            </c:strRef>
          </c:tx>
          <c:spPr>
            <a:solidFill>
              <a:srgbClr val="FF0000"/>
            </a:solidFill>
            <a:ln>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effectLst/>
          </c:spPr>
          <c:invertIfNegative val="0"/>
          <c:cat>
            <c:strRef>
              <c:f>Hoja2!$H$7:$H$27</c:f>
              <c:strCache>
                <c:ptCount val="21"/>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85-89</c:v>
                </c:pt>
                <c:pt idx="18">
                  <c:v>90-94</c:v>
                </c:pt>
                <c:pt idx="19">
                  <c:v>95-99</c:v>
                </c:pt>
                <c:pt idx="20">
                  <c:v>100+</c:v>
                </c:pt>
              </c:strCache>
            </c:strRef>
          </c:cat>
          <c:val>
            <c:numRef>
              <c:f>Hoja2!$N$7:$N$27</c:f>
              <c:numCache>
                <c:formatCode>0.00%</c:formatCode>
                <c:ptCount val="21"/>
                <c:pt idx="0">
                  <c:v>4.225186885420433E-2</c:v>
                </c:pt>
                <c:pt idx="1">
                  <c:v>4.2916677947617166E-2</c:v>
                </c:pt>
                <c:pt idx="2">
                  <c:v>4.3232942209381904E-2</c:v>
                </c:pt>
                <c:pt idx="3">
                  <c:v>4.30565446165391E-2</c:v>
                </c:pt>
                <c:pt idx="4">
                  <c:v>4.2552024432172646E-2</c:v>
                </c:pt>
                <c:pt idx="5">
                  <c:v>4.1941901120632702E-2</c:v>
                </c:pt>
                <c:pt idx="6">
                  <c:v>3.9658813179014304E-2</c:v>
                </c:pt>
                <c:pt idx="7">
                  <c:v>3.6942726345039742E-2</c:v>
                </c:pt>
                <c:pt idx="8">
                  <c:v>3.4792687125253373E-2</c:v>
                </c:pt>
                <c:pt idx="9">
                  <c:v>3.2088118908726183E-2</c:v>
                </c:pt>
                <c:pt idx="10">
                  <c:v>2.7764742524810315E-2</c:v>
                </c:pt>
                <c:pt idx="11">
                  <c:v>2.3504094414236076E-2</c:v>
                </c:pt>
                <c:pt idx="12">
                  <c:v>1.8862660403561951E-2</c:v>
                </c:pt>
                <c:pt idx="13">
                  <c:v>1.415540910759701E-2</c:v>
                </c:pt>
                <c:pt idx="14">
                  <c:v>1.034898795870751E-2</c:v>
                </c:pt>
                <c:pt idx="15">
                  <c:v>7.2819072043271826E-3</c:v>
                </c:pt>
                <c:pt idx="16">
                  <c:v>4.7229965665908698E-3</c:v>
                </c:pt>
                <c:pt idx="17">
                  <c:v>2.6824316142723759E-3</c:v>
                </c:pt>
                <c:pt idx="18">
                  <c:v>1.1833285851295865E-3</c:v>
                </c:pt>
                <c:pt idx="19">
                  <c:v>3.5593949963900036E-4</c:v>
                </c:pt>
                <c:pt idx="20">
                  <c:v>6.2159452726942224E-5</c:v>
                </c:pt>
              </c:numCache>
            </c:numRef>
          </c:val>
          <c:extLst>
            <c:ext xmlns:c16="http://schemas.microsoft.com/office/drawing/2014/chart" uri="{C3380CC4-5D6E-409C-BE32-E72D297353CC}">
              <c16:uniqueId val="{00000000-1F20-451B-B2E1-C592E6E54E98}"/>
            </c:ext>
          </c:extLst>
        </c:ser>
        <c:ser>
          <c:idx val="1"/>
          <c:order val="1"/>
          <c:tx>
            <c:strRef>
              <c:f>Hoja2!$O$6</c:f>
              <c:strCache>
                <c:ptCount val="1"/>
                <c:pt idx="0">
                  <c:v>Hombres 2019</c:v>
                </c:pt>
              </c:strCache>
            </c:strRef>
          </c:tx>
          <c:spPr>
            <a:solidFill>
              <a:schemeClr val="accent1">
                <a:lumMod val="75000"/>
              </a:schemeClr>
            </a:solidFill>
            <a:ln>
              <a:solidFill>
                <a:schemeClr val="accent1"/>
              </a:solidFill>
            </a:ln>
            <a:effectLst/>
          </c:spPr>
          <c:invertIfNegative val="0"/>
          <c:cat>
            <c:strRef>
              <c:f>Hoja2!$H$7:$H$27</c:f>
              <c:strCache>
                <c:ptCount val="21"/>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85-89</c:v>
                </c:pt>
                <c:pt idx="18">
                  <c:v>90-94</c:v>
                </c:pt>
                <c:pt idx="19">
                  <c:v>95-99</c:v>
                </c:pt>
                <c:pt idx="20">
                  <c:v>100+</c:v>
                </c:pt>
              </c:strCache>
            </c:strRef>
          </c:cat>
          <c:val>
            <c:numRef>
              <c:f>Hoja2!$O$7:$O$27</c:f>
              <c:numCache>
                <c:formatCode>0.00%</c:formatCode>
                <c:ptCount val="21"/>
                <c:pt idx="0">
                  <c:v>-4.3797544071174435E-2</c:v>
                </c:pt>
                <c:pt idx="1">
                  <c:v>-4.44848610802989E-2</c:v>
                </c:pt>
                <c:pt idx="2">
                  <c:v>-4.4806371132176837E-2</c:v>
                </c:pt>
                <c:pt idx="3">
                  <c:v>-4.4322462794806394E-2</c:v>
                </c:pt>
                <c:pt idx="4">
                  <c:v>-4.3247960653666845E-2</c:v>
                </c:pt>
                <c:pt idx="5">
                  <c:v>-4.1639264852761454E-2</c:v>
                </c:pt>
                <c:pt idx="6">
                  <c:v>-3.7395989471794046E-2</c:v>
                </c:pt>
                <c:pt idx="7">
                  <c:v>-3.3074374851726436E-2</c:v>
                </c:pt>
                <c:pt idx="8">
                  <c:v>-3.0741270197447351E-2</c:v>
                </c:pt>
                <c:pt idx="9">
                  <c:v>-2.9016305882843131E-2</c:v>
                </c:pt>
                <c:pt idx="10">
                  <c:v>-2.5340199956720651E-2</c:v>
                </c:pt>
                <c:pt idx="11">
                  <c:v>-2.1335805533061903E-2</c:v>
                </c:pt>
                <c:pt idx="12">
                  <c:v>-1.68706743117948E-2</c:v>
                </c:pt>
                <c:pt idx="13">
                  <c:v>-1.2351576234709481E-2</c:v>
                </c:pt>
                <c:pt idx="14">
                  <c:v>-8.7394942288842991E-3</c:v>
                </c:pt>
                <c:pt idx="15">
                  <c:v>-5.882094973592147E-3</c:v>
                </c:pt>
                <c:pt idx="16">
                  <c:v>-3.6026411636786771E-3</c:v>
                </c:pt>
                <c:pt idx="17">
                  <c:v>-1.9269430345352089E-3</c:v>
                </c:pt>
                <c:pt idx="18">
                  <c:v>-8.0006989541308671E-4</c:v>
                </c:pt>
                <c:pt idx="19">
                  <c:v>-2.2699892669080209E-4</c:v>
                </c:pt>
                <c:pt idx="20">
                  <c:v>-3.8134682042825379E-5</c:v>
                </c:pt>
              </c:numCache>
            </c:numRef>
          </c:val>
          <c:extLst>
            <c:ext xmlns:c16="http://schemas.microsoft.com/office/drawing/2014/chart" uri="{C3380CC4-5D6E-409C-BE32-E72D297353CC}">
              <c16:uniqueId val="{00000001-1F20-451B-B2E1-C592E6E54E98}"/>
            </c:ext>
          </c:extLst>
        </c:ser>
        <c:ser>
          <c:idx val="2"/>
          <c:order val="2"/>
          <c:tx>
            <c:strRef>
              <c:f>Hoja2!$P$6</c:f>
              <c:strCache>
                <c:ptCount val="1"/>
                <c:pt idx="0">
                  <c:v>Mujeres 2050</c:v>
                </c:pt>
              </c:strCache>
            </c:strRef>
          </c:tx>
          <c:spPr>
            <a:solidFill>
              <a:schemeClr val="accent2">
                <a:lumMod val="60000"/>
                <a:lumOff val="40000"/>
                <a:alpha val="65000"/>
              </a:schemeClr>
            </a:solidFill>
            <a:ln>
              <a:noFill/>
            </a:ln>
            <a:effectLst/>
          </c:spPr>
          <c:invertIfNegative val="0"/>
          <c:cat>
            <c:strRef>
              <c:f>Hoja2!$H$7:$H$27</c:f>
              <c:strCache>
                <c:ptCount val="21"/>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85-89</c:v>
                </c:pt>
                <c:pt idx="18">
                  <c:v>90-94</c:v>
                </c:pt>
                <c:pt idx="19">
                  <c:v>95-99</c:v>
                </c:pt>
                <c:pt idx="20">
                  <c:v>100+</c:v>
                </c:pt>
              </c:strCache>
            </c:strRef>
          </c:cat>
          <c:val>
            <c:numRef>
              <c:f>Hoja2!$P$7:$P$27</c:f>
              <c:numCache>
                <c:formatCode>0.00%</c:formatCode>
                <c:ptCount val="21"/>
                <c:pt idx="0">
                  <c:v>2.8156564547366616E-2</c:v>
                </c:pt>
                <c:pt idx="1">
                  <c:v>2.9307589898667424E-2</c:v>
                </c:pt>
                <c:pt idx="2">
                  <c:v>3.0426673997905964E-2</c:v>
                </c:pt>
                <c:pt idx="3">
                  <c:v>3.1385727971159544E-2</c:v>
                </c:pt>
                <c:pt idx="4">
                  <c:v>3.2148620554213247E-2</c:v>
                </c:pt>
                <c:pt idx="5">
                  <c:v>3.2921579961955771E-2</c:v>
                </c:pt>
                <c:pt idx="6">
                  <c:v>3.3781456819860126E-2</c:v>
                </c:pt>
                <c:pt idx="7">
                  <c:v>3.4290431967582344E-2</c:v>
                </c:pt>
                <c:pt idx="8">
                  <c:v>3.4307333707425176E-2</c:v>
                </c:pt>
                <c:pt idx="9">
                  <c:v>3.4072510852435102E-2</c:v>
                </c:pt>
                <c:pt idx="10">
                  <c:v>3.341515124857572E-2</c:v>
                </c:pt>
                <c:pt idx="11">
                  <c:v>3.273663916790704E-2</c:v>
                </c:pt>
                <c:pt idx="12">
                  <c:v>3.0315992903941158E-2</c:v>
                </c:pt>
                <c:pt idx="13">
                  <c:v>2.6890735561963686E-2</c:v>
                </c:pt>
                <c:pt idx="14">
                  <c:v>2.3181711165068033E-2</c:v>
                </c:pt>
                <c:pt idx="15">
                  <c:v>1.8899228615389094E-2</c:v>
                </c:pt>
                <c:pt idx="16">
                  <c:v>1.3309435285275797E-2</c:v>
                </c:pt>
                <c:pt idx="17">
                  <c:v>8.0393446054511149E-3</c:v>
                </c:pt>
                <c:pt idx="18">
                  <c:v>3.8085861027323236E-3</c:v>
                </c:pt>
                <c:pt idx="19">
                  <c:v>1.2029045838962355E-3</c:v>
                </c:pt>
                <c:pt idx="20">
                  <c:v>2.2178051442472746E-4</c:v>
                </c:pt>
              </c:numCache>
            </c:numRef>
          </c:val>
          <c:extLst>
            <c:ext xmlns:c16="http://schemas.microsoft.com/office/drawing/2014/chart" uri="{C3380CC4-5D6E-409C-BE32-E72D297353CC}">
              <c16:uniqueId val="{00000002-1F20-451B-B2E1-C592E6E54E98}"/>
            </c:ext>
          </c:extLst>
        </c:ser>
        <c:ser>
          <c:idx val="3"/>
          <c:order val="3"/>
          <c:tx>
            <c:strRef>
              <c:f>Hoja2!$Q$6</c:f>
              <c:strCache>
                <c:ptCount val="1"/>
                <c:pt idx="0">
                  <c:v>Hombres 2050</c:v>
                </c:pt>
              </c:strCache>
            </c:strRef>
          </c:tx>
          <c:spPr>
            <a:solidFill>
              <a:schemeClr val="accent1">
                <a:lumMod val="40000"/>
                <a:lumOff val="60000"/>
                <a:alpha val="65000"/>
              </a:schemeClr>
            </a:solidFill>
            <a:ln>
              <a:noFill/>
            </a:ln>
            <a:effectLst/>
          </c:spPr>
          <c:invertIfNegative val="0"/>
          <c:cat>
            <c:strRef>
              <c:f>Hoja2!$H$7:$H$27</c:f>
              <c:strCache>
                <c:ptCount val="21"/>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85-89</c:v>
                </c:pt>
                <c:pt idx="18">
                  <c:v>90-94</c:v>
                </c:pt>
                <c:pt idx="19">
                  <c:v>95-99</c:v>
                </c:pt>
                <c:pt idx="20">
                  <c:v>100+</c:v>
                </c:pt>
              </c:strCache>
            </c:strRef>
          </c:cat>
          <c:val>
            <c:numRef>
              <c:f>Hoja2!$Q$7:$Q$27</c:f>
              <c:numCache>
                <c:formatCode>0.00%</c:formatCode>
                <c:ptCount val="21"/>
                <c:pt idx="0">
                  <c:v>-2.9247506069006571E-2</c:v>
                </c:pt>
                <c:pt idx="1">
                  <c:v>-3.0463682398320313E-2</c:v>
                </c:pt>
                <c:pt idx="2">
                  <c:v>-3.1631224898976511E-2</c:v>
                </c:pt>
                <c:pt idx="3">
                  <c:v>-3.2508934610535403E-2</c:v>
                </c:pt>
                <c:pt idx="4">
                  <c:v>-3.2970355481845529E-2</c:v>
                </c:pt>
                <c:pt idx="5">
                  <c:v>-3.3333388660385911E-2</c:v>
                </c:pt>
                <c:pt idx="6">
                  <c:v>-3.3861316697217321E-2</c:v>
                </c:pt>
                <c:pt idx="7">
                  <c:v>-3.4059745147132649E-2</c:v>
                </c:pt>
                <c:pt idx="8">
                  <c:v>-3.3821110123275828E-2</c:v>
                </c:pt>
                <c:pt idx="9">
                  <c:v>-3.3227538562719497E-2</c:v>
                </c:pt>
                <c:pt idx="10">
                  <c:v>-3.2093468928873797E-2</c:v>
                </c:pt>
                <c:pt idx="11">
                  <c:v>-3.0726553370087499E-2</c:v>
                </c:pt>
                <c:pt idx="12">
                  <c:v>-2.683015918659085E-2</c:v>
                </c:pt>
                <c:pt idx="13">
                  <c:v>-2.2035867664545388E-2</c:v>
                </c:pt>
                <c:pt idx="14">
                  <c:v>-1.789017787876809E-2</c:v>
                </c:pt>
                <c:pt idx="15">
                  <c:v>-1.4201388339273098E-2</c:v>
                </c:pt>
                <c:pt idx="16">
                  <c:v>-9.5786106802235767E-3</c:v>
                </c:pt>
                <c:pt idx="17">
                  <c:v>-5.4417799700605075E-3</c:v>
                </c:pt>
                <c:pt idx="18">
                  <c:v>-2.4129949374262507E-3</c:v>
                </c:pt>
                <c:pt idx="19">
                  <c:v>-7.1722752307114474E-4</c:v>
                </c:pt>
                <c:pt idx="20">
                  <c:v>-1.2696883846804142E-4</c:v>
                </c:pt>
              </c:numCache>
            </c:numRef>
          </c:val>
          <c:extLst>
            <c:ext xmlns:c16="http://schemas.microsoft.com/office/drawing/2014/chart" uri="{C3380CC4-5D6E-409C-BE32-E72D297353CC}">
              <c16:uniqueId val="{00000003-1F20-451B-B2E1-C592E6E54E98}"/>
            </c:ext>
          </c:extLst>
        </c:ser>
        <c:dLbls>
          <c:showLegendKey val="0"/>
          <c:showVal val="0"/>
          <c:showCatName val="0"/>
          <c:showSerName val="0"/>
          <c:showPercent val="0"/>
          <c:showBubbleSize val="0"/>
        </c:dLbls>
        <c:gapWidth val="0"/>
        <c:overlap val="100"/>
        <c:axId val="528948848"/>
        <c:axId val="355117488"/>
      </c:barChart>
      <c:catAx>
        <c:axId val="528948848"/>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out"/>
        <c:minorTickMark val="none"/>
        <c:tickLblPos val="low"/>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es-MX"/>
          </a:p>
        </c:txPr>
        <c:crossAx val="355117488"/>
        <c:crosses val="autoZero"/>
        <c:auto val="1"/>
        <c:lblAlgn val="ctr"/>
        <c:lblOffset val="100"/>
        <c:noMultiLvlLbl val="0"/>
      </c:catAx>
      <c:valAx>
        <c:axId val="355117488"/>
        <c:scaling>
          <c:orientation val="minMax"/>
        </c:scaling>
        <c:delete val="0"/>
        <c:axPos val="b"/>
        <c:majorGridlines>
          <c:spPr>
            <a:ln w="9525" cap="flat" cmpd="sng" algn="ctr">
              <a:solidFill>
                <a:schemeClr val="dk1">
                  <a:lumMod val="15000"/>
                  <a:lumOff val="85000"/>
                </a:schemeClr>
              </a:solidFill>
              <a:round/>
            </a:ln>
            <a:effectLst/>
          </c:spPr>
        </c:majorGridlines>
        <c:numFmt formatCode="0.00%;0.0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MX"/>
          </a:p>
        </c:txPr>
        <c:crossAx val="528948848"/>
        <c:crosses val="autoZero"/>
        <c:crossBetween val="between"/>
      </c:valAx>
      <c:spPr>
        <a:pattFill prst="ltDnDiag">
          <a:fgClr>
            <a:schemeClr val="dk1">
              <a:lumMod val="15000"/>
              <a:lumOff val="85000"/>
            </a:schemeClr>
          </a:fgClr>
          <a:bgClr>
            <a:schemeClr val="lt1"/>
          </a:bgClr>
        </a:patt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MX"/>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es-MX"/>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dk1">
                        <a:lumMod val="75000"/>
                        <a:lumOff val="25000"/>
                      </a:schemeClr>
                    </a:solidFill>
                    <a:latin typeface="+mn-lt"/>
                    <a:ea typeface="+mn-ea"/>
                    <a:cs typeface="+mn-cs"/>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Hoja1!$K$48:$K$50</c:f>
              <c:strCache>
                <c:ptCount val="3"/>
                <c:pt idx="0">
                  <c:v>&lt;3 SMM</c:v>
                </c:pt>
                <c:pt idx="1">
                  <c:v>3-5 SMM</c:v>
                </c:pt>
                <c:pt idx="2">
                  <c:v>Más de 5 SMM</c:v>
                </c:pt>
              </c:strCache>
            </c:strRef>
          </c:cat>
          <c:val>
            <c:numRef>
              <c:f>Hoja1!$L$48:$L$50</c:f>
              <c:numCache>
                <c:formatCode>0.0%</c:formatCode>
                <c:ptCount val="3"/>
                <c:pt idx="0">
                  <c:v>8.7999999999999995E-2</c:v>
                </c:pt>
                <c:pt idx="1">
                  <c:v>0.26873935968000529</c:v>
                </c:pt>
                <c:pt idx="2">
                  <c:v>0.64387365498090943</c:v>
                </c:pt>
              </c:numCache>
            </c:numRef>
          </c:val>
          <c:extLst>
            <c:ext xmlns:c16="http://schemas.microsoft.com/office/drawing/2014/chart" uri="{C3380CC4-5D6E-409C-BE32-E72D297353CC}">
              <c16:uniqueId val="{00000000-79C0-4680-8264-7BF1AAB5910D}"/>
            </c:ext>
          </c:extLst>
        </c:ser>
        <c:dLbls>
          <c:showLegendKey val="0"/>
          <c:showVal val="0"/>
          <c:showCatName val="0"/>
          <c:showSerName val="0"/>
          <c:showPercent val="0"/>
          <c:showBubbleSize val="0"/>
        </c:dLbls>
        <c:gapWidth val="267"/>
        <c:overlap val="-43"/>
        <c:axId val="214285696"/>
        <c:axId val="214516864"/>
      </c:barChart>
      <c:catAx>
        <c:axId val="214285696"/>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1" i="0" u="none" strike="noStrike" kern="1200" cap="none" spc="0" normalizeH="0" baseline="0">
                <a:solidFill>
                  <a:schemeClr val="dk1">
                    <a:lumMod val="65000"/>
                    <a:lumOff val="35000"/>
                  </a:schemeClr>
                </a:solidFill>
                <a:latin typeface="+mn-lt"/>
                <a:ea typeface="+mn-ea"/>
                <a:cs typeface="+mn-cs"/>
              </a:defRPr>
            </a:pPr>
            <a:endParaRPr lang="es-MX"/>
          </a:p>
        </c:txPr>
        <c:crossAx val="214516864"/>
        <c:crosses val="autoZero"/>
        <c:auto val="1"/>
        <c:lblAlgn val="ctr"/>
        <c:lblOffset val="100"/>
        <c:noMultiLvlLbl val="0"/>
      </c:catAx>
      <c:valAx>
        <c:axId val="214516864"/>
        <c:scaling>
          <c:orientation val="minMax"/>
        </c:scaling>
        <c:delete val="0"/>
        <c:axPos val="l"/>
        <c:majorGridlines>
          <c:spPr>
            <a:ln w="9525" cap="flat" cmpd="sng" algn="ctr">
              <a:solidFill>
                <a:schemeClr val="dk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dk1">
                    <a:lumMod val="65000"/>
                    <a:lumOff val="35000"/>
                  </a:schemeClr>
                </a:solidFill>
                <a:latin typeface="+mn-lt"/>
                <a:ea typeface="+mn-ea"/>
                <a:cs typeface="+mn-cs"/>
              </a:defRPr>
            </a:pPr>
            <a:endParaRPr lang="es-MX"/>
          </a:p>
        </c:txPr>
        <c:crossAx val="214285696"/>
        <c:crosses val="autoZero"/>
        <c:crossBetween val="between"/>
      </c:valAx>
      <c:spPr>
        <a:pattFill prst="ltDnDiag">
          <a:fgClr>
            <a:schemeClr val="dk1">
              <a:lumMod val="15000"/>
              <a:lumOff val="85000"/>
            </a:schemeClr>
          </a:fgClr>
          <a:bgClr>
            <a:schemeClr val="lt1"/>
          </a:bgClr>
        </a:pattFill>
        <a:ln>
          <a:noFill/>
        </a:ln>
        <a:effectLst/>
      </c:spPr>
    </c:plotArea>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es-MX"/>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'Gráficos Especialidades '!$A$49</c:f>
              <c:strCache>
                <c:ptCount val="1"/>
                <c:pt idx="0">
                  <c:v>Ingreso</c:v>
                </c:pt>
              </c:strCache>
            </c:strRef>
          </c:tx>
          <c:spPr>
            <a:ln w="19050" cap="rnd" cmpd="sng" algn="ctr">
              <a:solidFill>
                <a:schemeClr val="accent6"/>
              </a:solidFill>
              <a:prstDash val="solid"/>
              <a:round/>
            </a:ln>
            <a:effectLst/>
          </c:spPr>
          <c:marker>
            <c:symbol val="circle"/>
            <c:size val="7"/>
            <c:spPr>
              <a:solidFill>
                <a:schemeClr val="accent6"/>
              </a:solidFill>
              <a:ln w="6350" cap="flat" cmpd="sng" algn="ctr">
                <a:solidFill>
                  <a:schemeClr val="accent6"/>
                </a:solidFill>
                <a:prstDash val="solid"/>
                <a:round/>
              </a:ln>
              <a:effectLst/>
            </c:spPr>
          </c:marker>
          <c:dLbls>
            <c:dLbl>
              <c:idx val="0"/>
              <c:layout>
                <c:manualLayout>
                  <c:x val="-2.9504036546329913E-2"/>
                  <c:y val="-3.9988386138016252E-2"/>
                </c:manualLayout>
              </c:layout>
              <c:spPr>
                <a:noFill/>
                <a:ln w="25400">
                  <a:noFill/>
                </a:ln>
                <a:effectLst/>
              </c:spPr>
              <c:txPr>
                <a:bodyPr rot="0" spcFirstLastPara="1" vertOverflow="ellipsis" vert="horz" wrap="square" anchor="ctr" anchorCtr="1"/>
                <a:lstStyle/>
                <a:p>
                  <a:pPr>
                    <a:defRPr sz="900" b="1" i="0" u="none" strike="noStrike" kern="1200" baseline="0">
                      <a:solidFill>
                        <a:srgbClr val="000000"/>
                      </a:solidFill>
                      <a:latin typeface="Calibri"/>
                      <a:ea typeface="Calibri"/>
                      <a:cs typeface="Calibri"/>
                    </a:defRPr>
                  </a:pPr>
                  <a:endParaRPr lang="es-MX"/>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F33-4D4B-B1AF-D7D38097DD5F}"/>
                </c:ext>
              </c:extLst>
            </c:dLbl>
            <c:dLbl>
              <c:idx val="1"/>
              <c:layout>
                <c:manualLayout>
                  <c:x val="-2.5282767797737856E-2"/>
                  <c:y val="-3.3455415327384025E-2"/>
                </c:manualLayout>
              </c:layout>
              <c:spPr>
                <a:noFill/>
                <a:ln w="25400">
                  <a:noFill/>
                </a:ln>
                <a:effectLst/>
              </c:spPr>
              <c:txPr>
                <a:bodyPr rot="0" spcFirstLastPara="1" vertOverflow="ellipsis" vert="horz" wrap="square" anchor="ctr" anchorCtr="1"/>
                <a:lstStyle/>
                <a:p>
                  <a:pPr>
                    <a:defRPr sz="900" b="1" i="0" u="none" strike="noStrike" kern="1200" baseline="0">
                      <a:solidFill>
                        <a:srgbClr val="000000"/>
                      </a:solidFill>
                      <a:latin typeface="Calibri"/>
                      <a:ea typeface="Calibri"/>
                      <a:cs typeface="Calibri"/>
                    </a:defRPr>
                  </a:pPr>
                  <a:endParaRPr lang="es-MX"/>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F33-4D4B-B1AF-D7D38097DD5F}"/>
                </c:ext>
              </c:extLst>
            </c:dLbl>
            <c:dLbl>
              <c:idx val="2"/>
              <c:layout>
                <c:manualLayout>
                  <c:x val="-8.1560762988458785E-3"/>
                  <c:y val="-4.0176747161229563E-2"/>
                </c:manualLayout>
              </c:layout>
              <c:spPr>
                <a:noFill/>
                <a:ln w="25400">
                  <a:noFill/>
                </a:ln>
                <a:effectLst/>
              </c:spPr>
              <c:txPr>
                <a:bodyPr rot="0" spcFirstLastPara="1" vertOverflow="ellipsis" vert="horz" wrap="square" anchor="ctr" anchorCtr="1"/>
                <a:lstStyle/>
                <a:p>
                  <a:pPr>
                    <a:defRPr sz="900" b="1" i="0" u="none" strike="noStrike" kern="1200" baseline="0">
                      <a:solidFill>
                        <a:srgbClr val="000000"/>
                      </a:solidFill>
                      <a:latin typeface="Calibri"/>
                      <a:ea typeface="Calibri"/>
                      <a:cs typeface="Calibri"/>
                    </a:defRPr>
                  </a:pPr>
                  <a:endParaRPr lang="es-MX"/>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CF33-4D4B-B1AF-D7D38097DD5F}"/>
                </c:ext>
              </c:extLst>
            </c:dLbl>
            <c:dLbl>
              <c:idx val="3"/>
              <c:layout>
                <c:manualLayout>
                  <c:x val="-2.4124140171101368E-2"/>
                  <c:y val="-6.158332594920015E-2"/>
                </c:manualLayout>
              </c:layout>
              <c:spPr>
                <a:noFill/>
                <a:ln w="25400">
                  <a:noFill/>
                </a:ln>
                <a:effectLst/>
              </c:spPr>
              <c:txPr>
                <a:bodyPr rot="0" spcFirstLastPara="1" vertOverflow="ellipsis" vert="horz" wrap="square" anchor="ctr" anchorCtr="1"/>
                <a:lstStyle/>
                <a:p>
                  <a:pPr>
                    <a:defRPr sz="900" b="1" i="0" u="none" strike="noStrike" kern="1200" baseline="0">
                      <a:solidFill>
                        <a:srgbClr val="000000"/>
                      </a:solidFill>
                      <a:latin typeface="Calibri"/>
                      <a:ea typeface="Calibri"/>
                      <a:cs typeface="Calibri"/>
                    </a:defRPr>
                  </a:pPr>
                  <a:endParaRPr lang="es-MX"/>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CF33-4D4B-B1AF-D7D38097DD5F}"/>
                </c:ext>
              </c:extLst>
            </c:dLbl>
            <c:dLbl>
              <c:idx val="4"/>
              <c:layout>
                <c:manualLayout>
                  <c:x val="-9.7581485283027495E-17"/>
                  <c:y val="1.7433627888809412E-2"/>
                </c:manualLayout>
              </c:layout>
              <c:spPr>
                <a:noFill/>
                <a:ln w="25400">
                  <a:noFill/>
                </a:ln>
                <a:effectLst/>
              </c:spPr>
              <c:txPr>
                <a:bodyPr rot="0" spcFirstLastPara="1" vertOverflow="ellipsis" vert="horz" wrap="square" anchor="ctr" anchorCtr="1"/>
                <a:lstStyle/>
                <a:p>
                  <a:pPr>
                    <a:defRPr sz="900" b="1" i="0" u="none" strike="noStrike" kern="1200" baseline="0">
                      <a:solidFill>
                        <a:srgbClr val="000000"/>
                      </a:solidFill>
                      <a:latin typeface="Calibri"/>
                      <a:ea typeface="Calibri"/>
                      <a:cs typeface="Calibri"/>
                    </a:defRPr>
                  </a:pPr>
                  <a:endParaRPr lang="es-MX"/>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CF33-4D4B-B1AF-D7D38097DD5F}"/>
                </c:ext>
              </c:extLst>
            </c:dLbl>
            <c:dLbl>
              <c:idx val="5"/>
              <c:layout>
                <c:manualLayout>
                  <c:x val="2.7186757180729E-3"/>
                  <c:y val="2.6658941870911782E-2"/>
                </c:manualLayout>
              </c:layout>
              <c:spPr>
                <a:noFill/>
                <a:ln w="25400">
                  <a:noFill/>
                </a:ln>
                <a:effectLst/>
              </c:spPr>
              <c:txPr>
                <a:bodyPr rot="0" spcFirstLastPara="1" vertOverflow="ellipsis" vert="horz" wrap="square" anchor="ctr" anchorCtr="1"/>
                <a:lstStyle/>
                <a:p>
                  <a:pPr>
                    <a:defRPr sz="900" b="1" i="0" u="none" strike="noStrike" kern="1200" baseline="0">
                      <a:solidFill>
                        <a:srgbClr val="000000"/>
                      </a:solidFill>
                      <a:latin typeface="Calibri"/>
                      <a:ea typeface="Calibri"/>
                      <a:cs typeface="Calibri"/>
                    </a:defRPr>
                  </a:pPr>
                  <a:endParaRPr lang="es-MX"/>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CF33-4D4B-B1AF-D7D38097DD5F}"/>
                </c:ext>
              </c:extLst>
            </c:dLbl>
            <c:dLbl>
              <c:idx val="6"/>
              <c:layout>
                <c:manualLayout>
                  <c:x val="0"/>
                  <c:y val="-2.2215784892426541E-2"/>
                </c:manualLayout>
              </c:layout>
              <c:spPr>
                <a:noFill/>
                <a:ln w="25400">
                  <a:noFill/>
                </a:ln>
                <a:effectLst/>
              </c:spPr>
              <c:txPr>
                <a:bodyPr rot="0" spcFirstLastPara="1" vertOverflow="ellipsis" vert="horz" wrap="square" anchor="ctr" anchorCtr="1"/>
                <a:lstStyle/>
                <a:p>
                  <a:pPr>
                    <a:defRPr sz="900" b="1" i="0" u="none" strike="noStrike" kern="1200" baseline="0">
                      <a:solidFill>
                        <a:srgbClr val="000000"/>
                      </a:solidFill>
                      <a:latin typeface="Calibri"/>
                      <a:ea typeface="Calibri"/>
                      <a:cs typeface="Calibri"/>
                    </a:defRPr>
                  </a:pPr>
                  <a:endParaRPr lang="es-MX"/>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CF33-4D4B-B1AF-D7D38097DD5F}"/>
                </c:ext>
              </c:extLst>
            </c:dLbl>
            <c:spPr>
              <a:noFill/>
              <a:ln w="25400">
                <a:noFill/>
              </a:ln>
              <a:effectLst/>
            </c:spPr>
            <c:txPr>
              <a:bodyPr rot="0" spcFirstLastPara="1" vertOverflow="ellipsis" vert="horz" wrap="square" lIns="38100" tIns="19050" rIns="38100" bIns="19050" anchor="ctr" anchorCtr="1">
                <a:spAutoFit/>
              </a:bodyPr>
              <a:lstStyle/>
              <a:p>
                <a:pPr>
                  <a:defRPr sz="900" b="1" i="0" u="none" strike="noStrike" kern="1200" baseline="0">
                    <a:solidFill>
                      <a:srgbClr val="000000"/>
                    </a:solidFill>
                    <a:latin typeface="Calibri"/>
                    <a:ea typeface="Calibri"/>
                    <a:cs typeface="Calibri"/>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'Gráficos Especialidades '!$B$48:$F$48</c:f>
              <c:numCache>
                <c:formatCode>General</c:formatCode>
                <c:ptCount val="5"/>
                <c:pt idx="0">
                  <c:v>2014</c:v>
                </c:pt>
                <c:pt idx="1">
                  <c:v>2015</c:v>
                </c:pt>
                <c:pt idx="2">
                  <c:v>2016</c:v>
                </c:pt>
                <c:pt idx="3">
                  <c:v>2017</c:v>
                </c:pt>
                <c:pt idx="4">
                  <c:v>2018</c:v>
                </c:pt>
              </c:numCache>
            </c:numRef>
          </c:cat>
          <c:val>
            <c:numRef>
              <c:f>'Gráficos Especialidades '!$B$49:$F$49</c:f>
              <c:numCache>
                <c:formatCode>General</c:formatCode>
                <c:ptCount val="5"/>
                <c:pt idx="0">
                  <c:v>10</c:v>
                </c:pt>
                <c:pt idx="1">
                  <c:v>9</c:v>
                </c:pt>
                <c:pt idx="2">
                  <c:v>15</c:v>
                </c:pt>
                <c:pt idx="3">
                  <c:v>19</c:v>
                </c:pt>
                <c:pt idx="4">
                  <c:v>14</c:v>
                </c:pt>
              </c:numCache>
            </c:numRef>
          </c:val>
          <c:smooth val="0"/>
          <c:extLst>
            <c:ext xmlns:c16="http://schemas.microsoft.com/office/drawing/2014/chart" uri="{C3380CC4-5D6E-409C-BE32-E72D297353CC}">
              <c16:uniqueId val="{00000007-CF33-4D4B-B1AF-D7D38097DD5F}"/>
            </c:ext>
          </c:extLst>
        </c:ser>
        <c:ser>
          <c:idx val="1"/>
          <c:order val="1"/>
          <c:tx>
            <c:strRef>
              <c:f>'Gráficos Especialidades '!$A$50</c:f>
              <c:strCache>
                <c:ptCount val="1"/>
                <c:pt idx="0">
                  <c:v>Matrícula</c:v>
                </c:pt>
              </c:strCache>
            </c:strRef>
          </c:tx>
          <c:spPr>
            <a:ln w="19050" cap="rnd" cmpd="sng" algn="ctr">
              <a:solidFill>
                <a:schemeClr val="accent5"/>
              </a:solidFill>
              <a:prstDash val="solid"/>
              <a:round/>
            </a:ln>
            <a:effectLst/>
          </c:spPr>
          <c:marker>
            <c:symbol val="circle"/>
            <c:size val="7"/>
            <c:spPr>
              <a:solidFill>
                <a:schemeClr val="accent5"/>
              </a:solidFill>
              <a:ln w="6350" cap="flat" cmpd="sng" algn="ctr">
                <a:solidFill>
                  <a:schemeClr val="accent5"/>
                </a:solidFill>
                <a:prstDash val="solid"/>
                <a:round/>
              </a:ln>
              <a:effectLst/>
            </c:spPr>
          </c:marker>
          <c:dLbls>
            <c:dLbl>
              <c:idx val="0"/>
              <c:layout>
                <c:manualLayout>
                  <c:x val="-1.6312152597691781E-2"/>
                  <c:y val="9.0746305106005985E-3"/>
                </c:manualLayout>
              </c:layout>
              <c:spPr>
                <a:noFill/>
                <a:ln w="25400">
                  <a:noFill/>
                </a:ln>
                <a:effectLst/>
              </c:spPr>
              <c:txPr>
                <a:bodyPr rot="0" spcFirstLastPara="1" vertOverflow="ellipsis" vert="horz" wrap="square" anchor="ctr" anchorCtr="1"/>
                <a:lstStyle/>
                <a:p>
                  <a:pPr>
                    <a:defRPr sz="900" b="1" i="0" u="none" strike="noStrike" kern="1200" baseline="0">
                      <a:solidFill>
                        <a:srgbClr val="000000"/>
                      </a:solidFill>
                      <a:latin typeface="Calibri"/>
                      <a:ea typeface="Calibri"/>
                      <a:cs typeface="Calibri"/>
                    </a:defRPr>
                  </a:pPr>
                  <a:endParaRPr lang="es-MX"/>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CF33-4D4B-B1AF-D7D38097DD5F}"/>
                </c:ext>
              </c:extLst>
            </c:dLbl>
            <c:dLbl>
              <c:idx val="1"/>
              <c:layout>
                <c:manualLayout>
                  <c:x val="-2.6613439787092968E-3"/>
                  <c:y val="-2.6056261321607543E-2"/>
                </c:manualLayout>
              </c:layout>
              <c:spPr>
                <a:noFill/>
                <a:ln w="25400">
                  <a:noFill/>
                </a:ln>
                <a:effectLst/>
              </c:spPr>
              <c:txPr>
                <a:bodyPr rot="0" spcFirstLastPara="1" vertOverflow="ellipsis" vert="horz" wrap="square" anchor="ctr" anchorCtr="1"/>
                <a:lstStyle/>
                <a:p>
                  <a:pPr>
                    <a:defRPr sz="900" b="1" i="0" u="none" strike="noStrike" kern="1200" baseline="0">
                      <a:solidFill>
                        <a:srgbClr val="000000"/>
                      </a:solidFill>
                      <a:latin typeface="Calibri"/>
                      <a:ea typeface="Calibri"/>
                      <a:cs typeface="Calibri"/>
                    </a:defRPr>
                  </a:pPr>
                  <a:endParaRPr lang="es-MX"/>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CF33-4D4B-B1AF-D7D38097DD5F}"/>
                </c:ext>
              </c:extLst>
            </c:dLbl>
            <c:dLbl>
              <c:idx val="2"/>
              <c:layout>
                <c:manualLayout>
                  <c:x val="-5.3226879574184965E-3"/>
                  <c:y val="-2.202748614002829E-2"/>
                </c:manualLayout>
              </c:layout>
              <c:spPr>
                <a:noFill/>
                <a:ln w="25400">
                  <a:noFill/>
                </a:ln>
                <a:effectLst/>
              </c:spPr>
              <c:txPr>
                <a:bodyPr rot="0" spcFirstLastPara="1" vertOverflow="ellipsis" vert="horz" wrap="square" anchor="ctr" anchorCtr="1"/>
                <a:lstStyle/>
                <a:p>
                  <a:pPr>
                    <a:defRPr sz="900" b="1" i="0" u="none" strike="noStrike" kern="1200" baseline="0">
                      <a:solidFill>
                        <a:srgbClr val="000000"/>
                      </a:solidFill>
                      <a:latin typeface="Calibri"/>
                      <a:ea typeface="Calibri"/>
                      <a:cs typeface="Calibri"/>
                    </a:defRPr>
                  </a:pPr>
                  <a:endParaRPr lang="es-MX"/>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CF33-4D4B-B1AF-D7D38097DD5F}"/>
                </c:ext>
              </c:extLst>
            </c:dLbl>
            <c:dLbl>
              <c:idx val="3"/>
              <c:layout>
                <c:manualLayout>
                  <c:x val="0"/>
                  <c:y val="2.2215784892426541E-2"/>
                </c:manualLayout>
              </c:layout>
              <c:spPr>
                <a:noFill/>
                <a:ln w="25400">
                  <a:noFill/>
                </a:ln>
                <a:effectLst/>
              </c:spPr>
              <c:txPr>
                <a:bodyPr rot="0" spcFirstLastPara="1" vertOverflow="ellipsis" vert="horz" wrap="square" anchor="ctr" anchorCtr="1"/>
                <a:lstStyle/>
                <a:p>
                  <a:pPr>
                    <a:defRPr sz="900" b="1" i="0" u="none" strike="noStrike" kern="1200" baseline="0">
                      <a:solidFill>
                        <a:srgbClr val="000000"/>
                      </a:solidFill>
                      <a:latin typeface="Calibri"/>
                      <a:ea typeface="Calibri"/>
                      <a:cs typeface="Calibri"/>
                    </a:defRPr>
                  </a:pPr>
                  <a:endParaRPr lang="es-MX"/>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CF33-4D4B-B1AF-D7D38097DD5F}"/>
                </c:ext>
              </c:extLst>
            </c:dLbl>
            <c:dLbl>
              <c:idx val="4"/>
              <c:layout>
                <c:manualLayout>
                  <c:x val="-2.7186757180729E-3"/>
                  <c:y val="5.331788374182389E-2"/>
                </c:manualLayout>
              </c:layout>
              <c:spPr>
                <a:noFill/>
                <a:ln w="25400">
                  <a:noFill/>
                </a:ln>
                <a:effectLst/>
              </c:spPr>
              <c:txPr>
                <a:bodyPr rot="0" spcFirstLastPara="1" vertOverflow="ellipsis" vert="horz" wrap="square" anchor="ctr" anchorCtr="1"/>
                <a:lstStyle/>
                <a:p>
                  <a:pPr>
                    <a:defRPr sz="900" b="1" i="0" u="none" strike="noStrike" kern="1200" baseline="0">
                      <a:solidFill>
                        <a:srgbClr val="000000"/>
                      </a:solidFill>
                      <a:latin typeface="Calibri"/>
                      <a:ea typeface="Calibri"/>
                      <a:cs typeface="Calibri"/>
                    </a:defRPr>
                  </a:pPr>
                  <a:endParaRPr lang="es-MX"/>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CF33-4D4B-B1AF-D7D38097DD5F}"/>
                </c:ext>
              </c:extLst>
            </c:dLbl>
            <c:dLbl>
              <c:idx val="6"/>
              <c:layout>
                <c:manualLayout>
                  <c:x val="-2.17494057445832E-2"/>
                  <c:y val="7.9976825612735836E-2"/>
                </c:manualLayout>
              </c:layout>
              <c:spPr>
                <a:noFill/>
                <a:ln w="25400">
                  <a:noFill/>
                </a:ln>
                <a:effectLst/>
              </c:spPr>
              <c:txPr>
                <a:bodyPr rot="0" spcFirstLastPara="1" vertOverflow="ellipsis" vert="horz" wrap="square" anchor="ctr" anchorCtr="1"/>
                <a:lstStyle/>
                <a:p>
                  <a:pPr>
                    <a:defRPr sz="900" b="1" i="0" u="none" strike="noStrike" kern="1200" baseline="0">
                      <a:solidFill>
                        <a:srgbClr val="000000"/>
                      </a:solidFill>
                      <a:latin typeface="Calibri"/>
                      <a:ea typeface="Calibri"/>
                      <a:cs typeface="Calibri"/>
                    </a:defRPr>
                  </a:pPr>
                  <a:endParaRPr lang="es-MX"/>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CF33-4D4B-B1AF-D7D38097DD5F}"/>
                </c:ext>
              </c:extLst>
            </c:dLbl>
            <c:spPr>
              <a:noFill/>
              <a:ln w="25400">
                <a:noFill/>
              </a:ln>
              <a:effectLst/>
            </c:spPr>
            <c:txPr>
              <a:bodyPr rot="0" spcFirstLastPara="1" vertOverflow="ellipsis" vert="horz" wrap="square" lIns="38100" tIns="19050" rIns="38100" bIns="19050" anchor="ctr" anchorCtr="1">
                <a:spAutoFit/>
              </a:bodyPr>
              <a:lstStyle/>
              <a:p>
                <a:pPr>
                  <a:defRPr sz="900" b="1" i="0" u="none" strike="noStrike" kern="1200" baseline="0">
                    <a:solidFill>
                      <a:srgbClr val="000000"/>
                    </a:solidFill>
                    <a:latin typeface="Calibri"/>
                    <a:ea typeface="Calibri"/>
                    <a:cs typeface="Calibri"/>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'Gráficos Especialidades '!$B$48:$F$48</c:f>
              <c:numCache>
                <c:formatCode>General</c:formatCode>
                <c:ptCount val="5"/>
                <c:pt idx="0">
                  <c:v>2014</c:v>
                </c:pt>
                <c:pt idx="1">
                  <c:v>2015</c:v>
                </c:pt>
                <c:pt idx="2">
                  <c:v>2016</c:v>
                </c:pt>
                <c:pt idx="3">
                  <c:v>2017</c:v>
                </c:pt>
                <c:pt idx="4">
                  <c:v>2018</c:v>
                </c:pt>
              </c:numCache>
            </c:numRef>
          </c:cat>
          <c:val>
            <c:numRef>
              <c:f>'Gráficos Especialidades '!$B$50:$F$50</c:f>
              <c:numCache>
                <c:formatCode>General</c:formatCode>
                <c:ptCount val="5"/>
                <c:pt idx="0">
                  <c:v>32</c:v>
                </c:pt>
                <c:pt idx="1">
                  <c:v>34</c:v>
                </c:pt>
                <c:pt idx="2">
                  <c:v>29</c:v>
                </c:pt>
                <c:pt idx="3">
                  <c:v>40</c:v>
                </c:pt>
                <c:pt idx="4">
                  <c:v>36</c:v>
                </c:pt>
              </c:numCache>
            </c:numRef>
          </c:val>
          <c:smooth val="0"/>
          <c:extLst>
            <c:ext xmlns:c16="http://schemas.microsoft.com/office/drawing/2014/chart" uri="{C3380CC4-5D6E-409C-BE32-E72D297353CC}">
              <c16:uniqueId val="{0000000E-CF33-4D4B-B1AF-D7D38097DD5F}"/>
            </c:ext>
          </c:extLst>
        </c:ser>
        <c:ser>
          <c:idx val="2"/>
          <c:order val="2"/>
          <c:tx>
            <c:strRef>
              <c:f>'Gráficos Especialidades '!$A$51</c:f>
              <c:strCache>
                <c:ptCount val="1"/>
                <c:pt idx="0">
                  <c:v>Egreso</c:v>
                </c:pt>
              </c:strCache>
            </c:strRef>
          </c:tx>
          <c:spPr>
            <a:ln w="19050" cap="rnd" cmpd="sng" algn="ctr">
              <a:solidFill>
                <a:schemeClr val="accent4"/>
              </a:solidFill>
              <a:prstDash val="solid"/>
              <a:round/>
            </a:ln>
            <a:effectLst/>
          </c:spPr>
          <c:marker>
            <c:symbol val="circle"/>
            <c:size val="7"/>
            <c:spPr>
              <a:solidFill>
                <a:schemeClr val="accent4"/>
              </a:solidFill>
              <a:ln w="6350" cap="flat" cmpd="sng" algn="ctr">
                <a:solidFill>
                  <a:schemeClr val="accent4"/>
                </a:solidFill>
                <a:prstDash val="solid"/>
                <a:round/>
              </a:ln>
              <a:effectLst/>
            </c:spPr>
          </c:marker>
          <c:dLbls>
            <c:dLbl>
              <c:idx val="0"/>
              <c:spPr>
                <a:noFill/>
                <a:ln w="25400">
                  <a:noFill/>
                </a:ln>
                <a:effectLst/>
              </c:spPr>
              <c:txPr>
                <a:bodyPr rot="0" spcFirstLastPara="1" vertOverflow="ellipsis" vert="horz" wrap="square" anchor="ctr" anchorCtr="1"/>
                <a:lstStyle/>
                <a:p>
                  <a:pPr>
                    <a:defRPr sz="900" b="1" i="0" u="none" strike="noStrike" kern="1200" baseline="0">
                      <a:solidFill>
                        <a:srgbClr val="000000"/>
                      </a:solidFill>
                      <a:latin typeface="Calibri"/>
                      <a:ea typeface="Calibri"/>
                      <a:cs typeface="Calibri"/>
                    </a:defRPr>
                  </a:pPr>
                  <a:endParaRPr lang="es-MX"/>
                </a:p>
              </c:txPr>
              <c:dLblPos val="t"/>
              <c:showLegendKey val="0"/>
              <c:showVal val="1"/>
              <c:showCatName val="0"/>
              <c:showSerName val="0"/>
              <c:showPercent val="0"/>
              <c:showBubbleSize val="0"/>
              <c:extLst>
                <c:ext xmlns:c16="http://schemas.microsoft.com/office/drawing/2014/chart" uri="{C3380CC4-5D6E-409C-BE32-E72D297353CC}">
                  <c16:uniqueId val="{0000000F-CF33-4D4B-B1AF-D7D38097DD5F}"/>
                </c:ext>
              </c:extLst>
            </c:dLbl>
            <c:dLbl>
              <c:idx val="1"/>
              <c:spPr>
                <a:noFill/>
                <a:ln w="25400">
                  <a:noFill/>
                </a:ln>
                <a:effectLst/>
              </c:spPr>
              <c:txPr>
                <a:bodyPr rot="0" spcFirstLastPara="1" vertOverflow="ellipsis" vert="horz" wrap="square" anchor="ctr" anchorCtr="1"/>
                <a:lstStyle/>
                <a:p>
                  <a:pPr>
                    <a:defRPr sz="900" b="1" i="0" u="none" strike="noStrike" kern="1200" baseline="0">
                      <a:solidFill>
                        <a:srgbClr val="000000"/>
                      </a:solidFill>
                      <a:latin typeface="Calibri"/>
                      <a:ea typeface="Calibri"/>
                      <a:cs typeface="Calibri"/>
                    </a:defRPr>
                  </a:pPr>
                  <a:endParaRPr lang="es-MX"/>
                </a:p>
              </c:txPr>
              <c:dLblPos val="t"/>
              <c:showLegendKey val="0"/>
              <c:showVal val="1"/>
              <c:showCatName val="0"/>
              <c:showSerName val="0"/>
              <c:showPercent val="0"/>
              <c:showBubbleSize val="0"/>
              <c:extLst>
                <c:ext xmlns:c16="http://schemas.microsoft.com/office/drawing/2014/chart" uri="{C3380CC4-5D6E-409C-BE32-E72D297353CC}">
                  <c16:uniqueId val="{00000010-CF33-4D4B-B1AF-D7D38097DD5F}"/>
                </c:ext>
              </c:extLst>
            </c:dLbl>
            <c:dLbl>
              <c:idx val="2"/>
              <c:spPr>
                <a:noFill/>
                <a:ln w="25400">
                  <a:noFill/>
                </a:ln>
                <a:effectLst/>
              </c:spPr>
              <c:txPr>
                <a:bodyPr rot="0" spcFirstLastPara="1" vertOverflow="ellipsis" vert="horz" wrap="square" anchor="ctr" anchorCtr="1"/>
                <a:lstStyle/>
                <a:p>
                  <a:pPr>
                    <a:defRPr sz="900" b="1" i="0" u="none" strike="noStrike" kern="1200" baseline="0">
                      <a:solidFill>
                        <a:srgbClr val="000000"/>
                      </a:solidFill>
                      <a:latin typeface="Calibri"/>
                      <a:ea typeface="Calibri"/>
                      <a:cs typeface="Calibri"/>
                    </a:defRPr>
                  </a:pPr>
                  <a:endParaRPr lang="es-MX"/>
                </a:p>
              </c:txPr>
              <c:dLblPos val="t"/>
              <c:showLegendKey val="0"/>
              <c:showVal val="1"/>
              <c:showCatName val="0"/>
              <c:showSerName val="0"/>
              <c:showPercent val="0"/>
              <c:showBubbleSize val="0"/>
              <c:extLst>
                <c:ext xmlns:c16="http://schemas.microsoft.com/office/drawing/2014/chart" uri="{C3380CC4-5D6E-409C-BE32-E72D297353CC}">
                  <c16:uniqueId val="{00000011-CF33-4D4B-B1AF-D7D38097DD5F}"/>
                </c:ext>
              </c:extLst>
            </c:dLbl>
            <c:dLbl>
              <c:idx val="3"/>
              <c:spPr>
                <a:noFill/>
                <a:ln w="25400">
                  <a:noFill/>
                </a:ln>
                <a:effectLst/>
              </c:spPr>
              <c:txPr>
                <a:bodyPr rot="0" spcFirstLastPara="1" vertOverflow="ellipsis" vert="horz" wrap="square" anchor="ctr" anchorCtr="1"/>
                <a:lstStyle/>
                <a:p>
                  <a:pPr>
                    <a:defRPr sz="900" b="1" i="0" u="none" strike="noStrike" kern="1200" baseline="0">
                      <a:solidFill>
                        <a:srgbClr val="000000"/>
                      </a:solidFill>
                      <a:latin typeface="Calibri"/>
                      <a:ea typeface="Calibri"/>
                      <a:cs typeface="Calibri"/>
                    </a:defRPr>
                  </a:pPr>
                  <a:endParaRPr lang="es-MX"/>
                </a:p>
              </c:txPr>
              <c:dLblPos val="t"/>
              <c:showLegendKey val="0"/>
              <c:showVal val="1"/>
              <c:showCatName val="0"/>
              <c:showSerName val="0"/>
              <c:showPercent val="0"/>
              <c:showBubbleSize val="0"/>
              <c:extLst>
                <c:ext xmlns:c16="http://schemas.microsoft.com/office/drawing/2014/chart" uri="{C3380CC4-5D6E-409C-BE32-E72D297353CC}">
                  <c16:uniqueId val="{00000012-CF33-4D4B-B1AF-D7D38097DD5F}"/>
                </c:ext>
              </c:extLst>
            </c:dLbl>
            <c:dLbl>
              <c:idx val="4"/>
              <c:spPr>
                <a:noFill/>
                <a:ln w="25400">
                  <a:noFill/>
                </a:ln>
                <a:effectLst/>
              </c:spPr>
              <c:txPr>
                <a:bodyPr rot="0" spcFirstLastPara="1" vertOverflow="ellipsis" vert="horz" wrap="square" anchor="ctr" anchorCtr="1"/>
                <a:lstStyle/>
                <a:p>
                  <a:pPr>
                    <a:defRPr sz="900" b="1" i="0" u="none" strike="noStrike" kern="1200" baseline="0">
                      <a:solidFill>
                        <a:srgbClr val="000000"/>
                      </a:solidFill>
                      <a:latin typeface="Calibri"/>
                      <a:ea typeface="Calibri"/>
                      <a:cs typeface="Calibri"/>
                    </a:defRPr>
                  </a:pPr>
                  <a:endParaRPr lang="es-MX"/>
                </a:p>
              </c:txPr>
              <c:dLblPos val="t"/>
              <c:showLegendKey val="0"/>
              <c:showVal val="1"/>
              <c:showCatName val="0"/>
              <c:showSerName val="0"/>
              <c:showPercent val="0"/>
              <c:showBubbleSize val="0"/>
              <c:extLst>
                <c:ext xmlns:c16="http://schemas.microsoft.com/office/drawing/2014/chart" uri="{C3380CC4-5D6E-409C-BE32-E72D297353CC}">
                  <c16:uniqueId val="{00000013-CF33-4D4B-B1AF-D7D38097DD5F}"/>
                </c:ext>
              </c:extLst>
            </c:dLbl>
            <c:dLbl>
              <c:idx val="5"/>
              <c:spPr>
                <a:noFill/>
                <a:ln w="25400">
                  <a:noFill/>
                </a:ln>
                <a:effectLst/>
              </c:spPr>
              <c:txPr>
                <a:bodyPr rot="0" spcFirstLastPara="1" vertOverflow="ellipsis" vert="horz" wrap="square" anchor="ctr" anchorCtr="1"/>
                <a:lstStyle/>
                <a:p>
                  <a:pPr>
                    <a:defRPr sz="900" b="1" i="0" u="none" strike="noStrike" kern="1200" baseline="0">
                      <a:solidFill>
                        <a:srgbClr val="000000"/>
                      </a:solidFill>
                      <a:latin typeface="Calibri"/>
                      <a:ea typeface="Calibri"/>
                      <a:cs typeface="Calibri"/>
                    </a:defRPr>
                  </a:pPr>
                  <a:endParaRPr lang="es-MX"/>
                </a:p>
              </c:txPr>
              <c:dLblPos val="t"/>
              <c:showLegendKey val="0"/>
              <c:showVal val="1"/>
              <c:showCatName val="0"/>
              <c:showSerName val="0"/>
              <c:showPercent val="0"/>
              <c:showBubbleSize val="0"/>
              <c:extLst>
                <c:ext xmlns:c16="http://schemas.microsoft.com/office/drawing/2014/chart" uri="{C3380CC4-5D6E-409C-BE32-E72D297353CC}">
                  <c16:uniqueId val="{00000014-CF33-4D4B-B1AF-D7D38097DD5F}"/>
                </c:ext>
              </c:extLst>
            </c:dLbl>
            <c:spPr>
              <a:noFill/>
              <a:ln w="25400">
                <a:noFill/>
              </a:ln>
              <a:effectLst/>
            </c:spPr>
            <c:txPr>
              <a:bodyPr rot="0" spcFirstLastPara="1" vertOverflow="ellipsis" vert="horz" wrap="square" lIns="38100" tIns="19050" rIns="38100" bIns="19050" anchor="ctr" anchorCtr="1">
                <a:spAutoFit/>
              </a:bodyPr>
              <a:lstStyle/>
              <a:p>
                <a:pPr>
                  <a:defRPr sz="900" b="1" i="0" u="none" strike="noStrike" kern="1200" baseline="0">
                    <a:solidFill>
                      <a:srgbClr val="000000"/>
                    </a:solidFill>
                    <a:latin typeface="Calibri"/>
                    <a:ea typeface="Calibri"/>
                    <a:cs typeface="Calibri"/>
                  </a:defRPr>
                </a:pPr>
                <a:endParaRPr lang="es-MX"/>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'Gráficos Especialidades '!$B$48:$F$48</c:f>
              <c:numCache>
                <c:formatCode>General</c:formatCode>
                <c:ptCount val="5"/>
                <c:pt idx="0">
                  <c:v>2014</c:v>
                </c:pt>
                <c:pt idx="1">
                  <c:v>2015</c:v>
                </c:pt>
                <c:pt idx="2">
                  <c:v>2016</c:v>
                </c:pt>
                <c:pt idx="3">
                  <c:v>2017</c:v>
                </c:pt>
                <c:pt idx="4">
                  <c:v>2018</c:v>
                </c:pt>
              </c:numCache>
            </c:numRef>
          </c:cat>
          <c:val>
            <c:numRef>
              <c:f>'Gráficos Especialidades '!$B$51:$F$51</c:f>
              <c:numCache>
                <c:formatCode>General</c:formatCode>
                <c:ptCount val="5"/>
                <c:pt idx="0">
                  <c:v>13</c:v>
                </c:pt>
                <c:pt idx="1">
                  <c:v>22</c:v>
                </c:pt>
                <c:pt idx="2">
                  <c:v>7</c:v>
                </c:pt>
                <c:pt idx="3">
                  <c:v>14</c:v>
                </c:pt>
                <c:pt idx="4">
                  <c:v>24</c:v>
                </c:pt>
              </c:numCache>
            </c:numRef>
          </c:val>
          <c:smooth val="0"/>
          <c:extLst>
            <c:ext xmlns:c16="http://schemas.microsoft.com/office/drawing/2014/chart" uri="{C3380CC4-5D6E-409C-BE32-E72D297353CC}">
              <c16:uniqueId val="{00000015-CF33-4D4B-B1AF-D7D38097DD5F}"/>
            </c:ext>
          </c:extLst>
        </c:ser>
        <c:dLbls>
          <c:showLegendKey val="0"/>
          <c:showVal val="0"/>
          <c:showCatName val="0"/>
          <c:showSerName val="0"/>
          <c:showPercent val="0"/>
          <c:showBubbleSize val="0"/>
        </c:dLbls>
        <c:marker val="1"/>
        <c:smooth val="0"/>
        <c:axId val="206164848"/>
        <c:axId val="1"/>
      </c:lineChart>
      <c:catAx>
        <c:axId val="2061648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prstDash val="solid"/>
            <a:round/>
          </a:ln>
          <a:effectLst/>
        </c:spPr>
        <c:txPr>
          <a:bodyPr rot="0" spcFirstLastPara="1" vertOverflow="ellipsis" wrap="square" anchor="ctr" anchorCtr="1"/>
          <a:lstStyle/>
          <a:p>
            <a:pPr>
              <a:defRPr sz="900" b="0" i="0" u="none" strike="noStrike" kern="1200" baseline="0">
                <a:solidFill>
                  <a:srgbClr val="333333"/>
                </a:solidFill>
                <a:latin typeface="Calibri"/>
                <a:ea typeface="Calibri"/>
                <a:cs typeface="Calibri"/>
              </a:defRPr>
            </a:pPr>
            <a:endParaRPr lang="es-MX"/>
          </a:p>
        </c:txPr>
        <c:crossAx val="1"/>
        <c:crosses val="autoZero"/>
        <c:auto val="1"/>
        <c:lblAlgn val="ctr"/>
        <c:lblOffset val="100"/>
        <c:noMultiLvlLbl val="0"/>
      </c:catAx>
      <c:valAx>
        <c:axId val="1"/>
        <c:scaling>
          <c:orientation val="minMax"/>
        </c:scaling>
        <c:delete val="0"/>
        <c:axPos val="l"/>
        <c:majorGridlines>
          <c:spPr>
            <a:ln w="9525" cap="flat" cmpd="sng" algn="ctr">
              <a:solidFill>
                <a:schemeClr val="tx1">
                  <a:lumMod val="15000"/>
                  <a:lumOff val="85000"/>
                </a:schemeClr>
              </a:solidFill>
              <a:prstDash val="solid"/>
              <a:round/>
            </a:ln>
            <a:effectLst/>
          </c:spPr>
        </c:majorGridlines>
        <c:numFmt formatCode="General" sourceLinked="1"/>
        <c:majorTickMark val="none"/>
        <c:minorTickMark val="none"/>
        <c:tickLblPos val="nextTo"/>
        <c:spPr>
          <a:noFill/>
          <a:ln w="9525" cap="flat" cmpd="sng" algn="ctr">
            <a:noFill/>
            <a:prstDash val="solid"/>
            <a:round/>
          </a:ln>
          <a:effectLst/>
        </c:spPr>
        <c:txPr>
          <a:bodyPr rot="0" spcFirstLastPara="1" vertOverflow="ellipsis" wrap="square" anchor="ctr" anchorCtr="1"/>
          <a:lstStyle/>
          <a:p>
            <a:pPr>
              <a:defRPr sz="900" b="0" i="0" u="none" strike="noStrike" kern="1200" baseline="0">
                <a:solidFill>
                  <a:srgbClr val="333333"/>
                </a:solidFill>
                <a:latin typeface="Calibri"/>
                <a:ea typeface="Calibri"/>
                <a:cs typeface="Calibri"/>
              </a:defRPr>
            </a:pPr>
            <a:endParaRPr lang="es-MX"/>
          </a:p>
        </c:txPr>
        <c:crossAx val="206164848"/>
        <c:crosses val="autoZero"/>
        <c:crossBetween val="between"/>
      </c:valAx>
      <c:spPr>
        <a:noFill/>
        <a:ln w="25400">
          <a:noFill/>
        </a:ln>
        <a:effectLst/>
      </c:spPr>
    </c:plotArea>
    <c:legend>
      <c:legendPos val="r"/>
      <c:overlay val="0"/>
      <c:spPr>
        <a:noFill/>
        <a:ln w="25400">
          <a:noFill/>
        </a:ln>
        <a:effectLst/>
      </c:spPr>
      <c:txPr>
        <a:bodyPr rot="0" spcFirstLastPara="1" vertOverflow="ellipsis" vert="horz" wrap="square" anchor="ctr" anchorCtr="1"/>
        <a:lstStyle/>
        <a:p>
          <a:pPr>
            <a:defRPr sz="825" b="1" i="0" u="none" strike="noStrike" kern="1200" baseline="0">
              <a:solidFill>
                <a:srgbClr val="000000"/>
              </a:solidFill>
              <a:latin typeface="Calibri"/>
              <a:ea typeface="Calibri"/>
              <a:cs typeface="Calibri"/>
            </a:defRPr>
          </a:pPr>
          <a:endParaRPr lang="es-MX"/>
        </a:p>
      </c:txPr>
    </c:legend>
    <c:plotVisOnly val="1"/>
    <c:dispBlanksAs val="zero"/>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sz="1000" b="0" i="0" u="none" strike="noStrike" baseline="0">
          <a:solidFill>
            <a:srgbClr val="000000"/>
          </a:solidFill>
          <a:latin typeface="Calibri"/>
          <a:ea typeface="Calibri"/>
          <a:cs typeface="Calibri"/>
        </a:defRPr>
      </a:pPr>
      <a:endParaRPr lang="es-MX"/>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v>ULSA</c:v>
          </c:tx>
          <c:spPr>
            <a:solidFill>
              <a:srgbClr val="4F81BD"/>
            </a:solidFill>
            <a:ln w="25400">
              <a:noFill/>
            </a:ln>
          </c:spPr>
          <c:invertIfNegative val="0"/>
          <c:dLbls>
            <c:spPr>
              <a:noFill/>
              <a:ln w="25400">
                <a:noFill/>
              </a:ln>
            </c:spPr>
            <c:txPr>
              <a:bodyPr rot="0" vert="horz"/>
              <a:lstStyle/>
              <a:p>
                <a:pPr>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multiLvlStrRef>
              <c:f>'ULSA vs Priv'!$E$8:$S$9</c:f>
              <c:multiLvlStrCache>
                <c:ptCount val="15"/>
                <c:lvl>
                  <c:pt idx="0">
                    <c:v>I</c:v>
                  </c:pt>
                  <c:pt idx="1">
                    <c:v>M</c:v>
                  </c:pt>
                  <c:pt idx="2">
                    <c:v>E</c:v>
                  </c:pt>
                  <c:pt idx="3">
                    <c:v>I</c:v>
                  </c:pt>
                  <c:pt idx="4">
                    <c:v>M</c:v>
                  </c:pt>
                  <c:pt idx="5">
                    <c:v>E</c:v>
                  </c:pt>
                  <c:pt idx="6">
                    <c:v>I</c:v>
                  </c:pt>
                  <c:pt idx="7">
                    <c:v>M</c:v>
                  </c:pt>
                  <c:pt idx="8">
                    <c:v>E</c:v>
                  </c:pt>
                  <c:pt idx="9">
                    <c:v>I</c:v>
                  </c:pt>
                  <c:pt idx="10">
                    <c:v>M</c:v>
                  </c:pt>
                  <c:pt idx="11">
                    <c:v>E</c:v>
                  </c:pt>
                  <c:pt idx="12">
                    <c:v>I</c:v>
                  </c:pt>
                  <c:pt idx="13">
                    <c:v>M</c:v>
                  </c:pt>
                  <c:pt idx="14">
                    <c:v>E</c:v>
                  </c:pt>
                </c:lvl>
                <c:lvl>
                  <c:pt idx="0">
                    <c:v>2014</c:v>
                  </c:pt>
                  <c:pt idx="3">
                    <c:v>2015</c:v>
                  </c:pt>
                  <c:pt idx="6">
                    <c:v>2016</c:v>
                  </c:pt>
                  <c:pt idx="9">
                    <c:v>2017</c:v>
                  </c:pt>
                  <c:pt idx="12">
                    <c:v>2018</c:v>
                  </c:pt>
                </c:lvl>
              </c:multiLvlStrCache>
            </c:multiLvlStrRef>
          </c:cat>
          <c:val>
            <c:numRef>
              <c:f>'ULSA vs Priv'!$E$10:$S$10</c:f>
              <c:numCache>
                <c:formatCode>General</c:formatCode>
                <c:ptCount val="15"/>
                <c:pt idx="0">
                  <c:v>6</c:v>
                </c:pt>
                <c:pt idx="1">
                  <c:v>16</c:v>
                </c:pt>
                <c:pt idx="2">
                  <c:v>4</c:v>
                </c:pt>
                <c:pt idx="3">
                  <c:v>1</c:v>
                </c:pt>
                <c:pt idx="4">
                  <c:v>14</c:v>
                </c:pt>
                <c:pt idx="5">
                  <c:v>14</c:v>
                </c:pt>
                <c:pt idx="6">
                  <c:v>7</c:v>
                </c:pt>
                <c:pt idx="7">
                  <c:v>15</c:v>
                </c:pt>
                <c:pt idx="8">
                  <c:v>1</c:v>
                </c:pt>
                <c:pt idx="9">
                  <c:v>9</c:v>
                </c:pt>
                <c:pt idx="10">
                  <c:v>20</c:v>
                </c:pt>
                <c:pt idx="11">
                  <c:v>10</c:v>
                </c:pt>
                <c:pt idx="12">
                  <c:v>6</c:v>
                </c:pt>
                <c:pt idx="13">
                  <c:v>16</c:v>
                </c:pt>
                <c:pt idx="14">
                  <c:v>17</c:v>
                </c:pt>
              </c:numCache>
            </c:numRef>
          </c:val>
          <c:extLst>
            <c:ext xmlns:c16="http://schemas.microsoft.com/office/drawing/2014/chart" uri="{C3380CC4-5D6E-409C-BE32-E72D297353CC}">
              <c16:uniqueId val="{00000000-8F3F-4A29-8E6D-EC13F0F222EA}"/>
            </c:ext>
          </c:extLst>
        </c:ser>
        <c:ser>
          <c:idx val="1"/>
          <c:order val="1"/>
          <c:tx>
            <c:v>Tec. De Monterrey</c:v>
          </c:tx>
          <c:spPr>
            <a:solidFill>
              <a:srgbClr val="C0504D"/>
            </a:solidFill>
            <a:ln w="25400">
              <a:noFill/>
            </a:ln>
          </c:spPr>
          <c:invertIfNegative val="0"/>
          <c:dLbls>
            <c:spPr>
              <a:noFill/>
              <a:ln w="25400">
                <a:noFill/>
              </a:ln>
            </c:spPr>
            <c:txPr>
              <a:bodyPr rot="0" vert="horz"/>
              <a:lstStyle/>
              <a:p>
                <a:pPr>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multiLvlStrRef>
              <c:f>'ULSA vs Priv'!$E$8:$S$9</c:f>
              <c:multiLvlStrCache>
                <c:ptCount val="15"/>
                <c:lvl>
                  <c:pt idx="0">
                    <c:v>I</c:v>
                  </c:pt>
                  <c:pt idx="1">
                    <c:v>M</c:v>
                  </c:pt>
                  <c:pt idx="2">
                    <c:v>E</c:v>
                  </c:pt>
                  <c:pt idx="3">
                    <c:v>I</c:v>
                  </c:pt>
                  <c:pt idx="4">
                    <c:v>M</c:v>
                  </c:pt>
                  <c:pt idx="5">
                    <c:v>E</c:v>
                  </c:pt>
                  <c:pt idx="6">
                    <c:v>I</c:v>
                  </c:pt>
                  <c:pt idx="7">
                    <c:v>M</c:v>
                  </c:pt>
                  <c:pt idx="8">
                    <c:v>E</c:v>
                  </c:pt>
                  <c:pt idx="9">
                    <c:v>I</c:v>
                  </c:pt>
                  <c:pt idx="10">
                    <c:v>M</c:v>
                  </c:pt>
                  <c:pt idx="11">
                    <c:v>E</c:v>
                  </c:pt>
                  <c:pt idx="12">
                    <c:v>I</c:v>
                  </c:pt>
                  <c:pt idx="13">
                    <c:v>M</c:v>
                  </c:pt>
                  <c:pt idx="14">
                    <c:v>E</c:v>
                  </c:pt>
                </c:lvl>
                <c:lvl>
                  <c:pt idx="0">
                    <c:v>2014</c:v>
                  </c:pt>
                  <c:pt idx="3">
                    <c:v>2015</c:v>
                  </c:pt>
                  <c:pt idx="6">
                    <c:v>2016</c:v>
                  </c:pt>
                  <c:pt idx="9">
                    <c:v>2017</c:v>
                  </c:pt>
                  <c:pt idx="12">
                    <c:v>2018</c:v>
                  </c:pt>
                </c:lvl>
              </c:multiLvlStrCache>
            </c:multiLvlStrRef>
          </c:cat>
          <c:val>
            <c:numRef>
              <c:f>'ULSA vs Priv'!$E$11:$S$11</c:f>
              <c:numCache>
                <c:formatCode>General</c:formatCode>
                <c:ptCount val="15"/>
                <c:pt idx="0">
                  <c:v>1</c:v>
                </c:pt>
                <c:pt idx="1">
                  <c:v>7</c:v>
                </c:pt>
                <c:pt idx="2">
                  <c:v>3</c:v>
                </c:pt>
                <c:pt idx="3">
                  <c:v>2</c:v>
                </c:pt>
                <c:pt idx="4">
                  <c:v>6</c:v>
                </c:pt>
                <c:pt idx="5">
                  <c:v>2</c:v>
                </c:pt>
                <c:pt idx="6">
                  <c:v>2</c:v>
                </c:pt>
                <c:pt idx="7">
                  <c:v>5</c:v>
                </c:pt>
                <c:pt idx="8">
                  <c:v>3</c:v>
                </c:pt>
                <c:pt idx="9">
                  <c:v>3</c:v>
                </c:pt>
                <c:pt idx="10">
                  <c:v>7</c:v>
                </c:pt>
                <c:pt idx="11">
                  <c:v>1</c:v>
                </c:pt>
                <c:pt idx="12">
                  <c:v>3</c:v>
                </c:pt>
                <c:pt idx="13">
                  <c:v>8</c:v>
                </c:pt>
                <c:pt idx="14">
                  <c:v>2</c:v>
                </c:pt>
              </c:numCache>
            </c:numRef>
          </c:val>
          <c:extLst>
            <c:ext xmlns:c16="http://schemas.microsoft.com/office/drawing/2014/chart" uri="{C3380CC4-5D6E-409C-BE32-E72D297353CC}">
              <c16:uniqueId val="{00000001-8F3F-4A29-8E6D-EC13F0F222EA}"/>
            </c:ext>
          </c:extLst>
        </c:ser>
        <c:ser>
          <c:idx val="2"/>
          <c:order val="2"/>
          <c:tx>
            <c:v>U. de Monterrey</c:v>
          </c:tx>
          <c:spPr>
            <a:solidFill>
              <a:srgbClr val="9BBB59"/>
            </a:solidFill>
            <a:ln w="25400">
              <a:noFill/>
            </a:ln>
          </c:spPr>
          <c:invertIfNegative val="0"/>
          <c:dLbls>
            <c:spPr>
              <a:noFill/>
              <a:ln w="25400">
                <a:noFill/>
              </a:ln>
            </c:spPr>
            <c:txPr>
              <a:bodyPr rot="0" vert="horz"/>
              <a:lstStyle/>
              <a:p>
                <a:pPr>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multiLvlStrRef>
              <c:f>'ULSA vs Priv'!$E$8:$S$9</c:f>
              <c:multiLvlStrCache>
                <c:ptCount val="15"/>
                <c:lvl>
                  <c:pt idx="0">
                    <c:v>I</c:v>
                  </c:pt>
                  <c:pt idx="1">
                    <c:v>M</c:v>
                  </c:pt>
                  <c:pt idx="2">
                    <c:v>E</c:v>
                  </c:pt>
                  <c:pt idx="3">
                    <c:v>I</c:v>
                  </c:pt>
                  <c:pt idx="4">
                    <c:v>M</c:v>
                  </c:pt>
                  <c:pt idx="5">
                    <c:v>E</c:v>
                  </c:pt>
                  <c:pt idx="6">
                    <c:v>I</c:v>
                  </c:pt>
                  <c:pt idx="7">
                    <c:v>M</c:v>
                  </c:pt>
                  <c:pt idx="8">
                    <c:v>E</c:v>
                  </c:pt>
                  <c:pt idx="9">
                    <c:v>I</c:v>
                  </c:pt>
                  <c:pt idx="10">
                    <c:v>M</c:v>
                  </c:pt>
                  <c:pt idx="11">
                    <c:v>E</c:v>
                  </c:pt>
                  <c:pt idx="12">
                    <c:v>I</c:v>
                  </c:pt>
                  <c:pt idx="13">
                    <c:v>M</c:v>
                  </c:pt>
                  <c:pt idx="14">
                    <c:v>E</c:v>
                  </c:pt>
                </c:lvl>
                <c:lvl>
                  <c:pt idx="0">
                    <c:v>2014</c:v>
                  </c:pt>
                  <c:pt idx="3">
                    <c:v>2015</c:v>
                  </c:pt>
                  <c:pt idx="6">
                    <c:v>2016</c:v>
                  </c:pt>
                  <c:pt idx="9">
                    <c:v>2017</c:v>
                  </c:pt>
                  <c:pt idx="12">
                    <c:v>2018</c:v>
                  </c:pt>
                </c:lvl>
              </c:multiLvlStrCache>
            </c:multiLvlStrRef>
          </c:cat>
          <c:val>
            <c:numRef>
              <c:f>'ULSA vs Priv'!$E$12:$S$12</c:f>
              <c:numCache>
                <c:formatCode>General</c:formatCode>
                <c:ptCount val="15"/>
                <c:pt idx="0">
                  <c:v>3</c:v>
                </c:pt>
                <c:pt idx="1">
                  <c:v>9</c:v>
                </c:pt>
                <c:pt idx="2">
                  <c:v>6</c:v>
                </c:pt>
                <c:pt idx="3">
                  <c:v>6</c:v>
                </c:pt>
                <c:pt idx="4">
                  <c:v>14</c:v>
                </c:pt>
                <c:pt idx="5">
                  <c:v>6</c:v>
                </c:pt>
                <c:pt idx="6">
                  <c:v>6</c:v>
                </c:pt>
                <c:pt idx="7">
                  <c:v>9</c:v>
                </c:pt>
                <c:pt idx="8">
                  <c:v>3</c:v>
                </c:pt>
                <c:pt idx="9">
                  <c:v>7</c:v>
                </c:pt>
                <c:pt idx="10">
                  <c:v>13</c:v>
                </c:pt>
                <c:pt idx="11">
                  <c:v>3</c:v>
                </c:pt>
                <c:pt idx="12">
                  <c:v>5</c:v>
                </c:pt>
                <c:pt idx="13">
                  <c:v>12</c:v>
                </c:pt>
                <c:pt idx="14">
                  <c:v>5</c:v>
                </c:pt>
              </c:numCache>
            </c:numRef>
          </c:val>
          <c:extLst>
            <c:ext xmlns:c16="http://schemas.microsoft.com/office/drawing/2014/chart" uri="{C3380CC4-5D6E-409C-BE32-E72D297353CC}">
              <c16:uniqueId val="{00000002-8F3F-4A29-8E6D-EC13F0F222EA}"/>
            </c:ext>
          </c:extLst>
        </c:ser>
        <c:dLbls>
          <c:showLegendKey val="0"/>
          <c:showVal val="0"/>
          <c:showCatName val="0"/>
          <c:showSerName val="0"/>
          <c:showPercent val="0"/>
          <c:showBubbleSize val="0"/>
        </c:dLbls>
        <c:gapWidth val="150"/>
        <c:overlap val="100"/>
        <c:axId val="207514296"/>
        <c:axId val="1"/>
      </c:barChart>
      <c:catAx>
        <c:axId val="2075142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es-MX"/>
          </a:p>
        </c:txPr>
        <c:crossAx val="1"/>
        <c:crosses val="autoZero"/>
        <c:auto val="1"/>
        <c:lblAlgn val="ctr"/>
        <c:lblOffset val="100"/>
        <c:noMultiLvlLbl val="0"/>
      </c:catAx>
      <c:valAx>
        <c:axId val="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ln w="9525">
            <a:noFill/>
          </a:ln>
        </c:spPr>
        <c:txPr>
          <a:bodyPr rot="-60000000" vert="horz"/>
          <a:lstStyle/>
          <a:p>
            <a:pPr>
              <a:defRPr/>
            </a:pPr>
            <a:endParaRPr lang="es-MX"/>
          </a:p>
        </c:txPr>
        <c:crossAx val="207514296"/>
        <c:crosses val="autoZero"/>
        <c:crossBetween val="between"/>
      </c:valAx>
      <c:spPr>
        <a:noFill/>
        <a:ln w="25400">
          <a:noFill/>
        </a:ln>
      </c:spPr>
    </c:plotArea>
    <c:legend>
      <c:legendPos val="b"/>
      <c:overlay val="0"/>
      <c:spPr>
        <a:noFill/>
        <a:ln w="25400">
          <a:noFill/>
        </a:ln>
      </c:sp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100" b="1"/>
      </a:pPr>
      <a:endParaRPr lang="es-MX"/>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Neonatologia!$A$76</c:f>
              <c:strCache>
                <c:ptCount val="1"/>
                <c:pt idx="0">
                  <c:v>Ingreso </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mn-lt"/>
                    <a:ea typeface="+mn-ea"/>
                    <a:cs typeface="+mn-cs"/>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Neonatologia!$B$75:$H$75</c:f>
              <c:numCache>
                <c:formatCode>General</c:formatCode>
                <c:ptCount val="7"/>
                <c:pt idx="0">
                  <c:v>2012</c:v>
                </c:pt>
                <c:pt idx="1">
                  <c:v>2013</c:v>
                </c:pt>
                <c:pt idx="2">
                  <c:v>2014</c:v>
                </c:pt>
                <c:pt idx="3">
                  <c:v>2015</c:v>
                </c:pt>
                <c:pt idx="4">
                  <c:v>2016</c:v>
                </c:pt>
                <c:pt idx="5">
                  <c:v>2017</c:v>
                </c:pt>
                <c:pt idx="6">
                  <c:v>2018</c:v>
                </c:pt>
              </c:numCache>
            </c:numRef>
          </c:cat>
          <c:val>
            <c:numRef>
              <c:f>Neonatologia!$B$76:$H$76</c:f>
              <c:numCache>
                <c:formatCode>General</c:formatCode>
                <c:ptCount val="7"/>
                <c:pt idx="0">
                  <c:v>9</c:v>
                </c:pt>
                <c:pt idx="1">
                  <c:v>5</c:v>
                </c:pt>
                <c:pt idx="2">
                  <c:v>14</c:v>
                </c:pt>
                <c:pt idx="3">
                  <c:v>9</c:v>
                </c:pt>
                <c:pt idx="4">
                  <c:v>13</c:v>
                </c:pt>
                <c:pt idx="5">
                  <c:v>6</c:v>
                </c:pt>
                <c:pt idx="6">
                  <c:v>10</c:v>
                </c:pt>
              </c:numCache>
            </c:numRef>
          </c:val>
          <c:extLst>
            <c:ext xmlns:c16="http://schemas.microsoft.com/office/drawing/2014/chart" uri="{C3380CC4-5D6E-409C-BE32-E72D297353CC}">
              <c16:uniqueId val="{00000000-929B-4015-9A88-5293169326AA}"/>
            </c:ext>
          </c:extLst>
        </c:ser>
        <c:ser>
          <c:idx val="1"/>
          <c:order val="1"/>
          <c:tx>
            <c:strRef>
              <c:f>Neonatologia!$A$77</c:f>
              <c:strCache>
                <c:ptCount val="1"/>
                <c:pt idx="0">
                  <c:v>Matrícula </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mn-lt"/>
                    <a:ea typeface="+mn-ea"/>
                    <a:cs typeface="+mn-cs"/>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Neonatologia!$B$75:$H$75</c:f>
              <c:numCache>
                <c:formatCode>General</c:formatCode>
                <c:ptCount val="7"/>
                <c:pt idx="0">
                  <c:v>2012</c:v>
                </c:pt>
                <c:pt idx="1">
                  <c:v>2013</c:v>
                </c:pt>
                <c:pt idx="2">
                  <c:v>2014</c:v>
                </c:pt>
                <c:pt idx="3">
                  <c:v>2015</c:v>
                </c:pt>
                <c:pt idx="4">
                  <c:v>2016</c:v>
                </c:pt>
                <c:pt idx="5">
                  <c:v>2017</c:v>
                </c:pt>
                <c:pt idx="6">
                  <c:v>2018</c:v>
                </c:pt>
              </c:numCache>
            </c:numRef>
          </c:cat>
          <c:val>
            <c:numRef>
              <c:f>Neonatologia!$B$77:$H$77</c:f>
              <c:numCache>
                <c:formatCode>General</c:formatCode>
                <c:ptCount val="7"/>
                <c:pt idx="0">
                  <c:v>13</c:v>
                </c:pt>
                <c:pt idx="1">
                  <c:v>21</c:v>
                </c:pt>
                <c:pt idx="2">
                  <c:v>37</c:v>
                </c:pt>
                <c:pt idx="3">
                  <c:v>15</c:v>
                </c:pt>
                <c:pt idx="4">
                  <c:v>37</c:v>
                </c:pt>
                <c:pt idx="5">
                  <c:v>16</c:v>
                </c:pt>
                <c:pt idx="6">
                  <c:v>16</c:v>
                </c:pt>
              </c:numCache>
            </c:numRef>
          </c:val>
          <c:extLst>
            <c:ext xmlns:c16="http://schemas.microsoft.com/office/drawing/2014/chart" uri="{C3380CC4-5D6E-409C-BE32-E72D297353CC}">
              <c16:uniqueId val="{00000001-929B-4015-9A88-5293169326AA}"/>
            </c:ext>
          </c:extLst>
        </c:ser>
        <c:ser>
          <c:idx val="2"/>
          <c:order val="2"/>
          <c:tx>
            <c:strRef>
              <c:f>Neonatologia!$A$78</c:f>
              <c:strCache>
                <c:ptCount val="1"/>
                <c:pt idx="0">
                  <c:v>Egreso </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mn-lt"/>
                    <a:ea typeface="+mn-ea"/>
                    <a:cs typeface="+mn-cs"/>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Neonatologia!$B$75:$H$75</c:f>
              <c:numCache>
                <c:formatCode>General</c:formatCode>
                <c:ptCount val="7"/>
                <c:pt idx="0">
                  <c:v>2012</c:v>
                </c:pt>
                <c:pt idx="1">
                  <c:v>2013</c:v>
                </c:pt>
                <c:pt idx="2">
                  <c:v>2014</c:v>
                </c:pt>
                <c:pt idx="3">
                  <c:v>2015</c:v>
                </c:pt>
                <c:pt idx="4">
                  <c:v>2016</c:v>
                </c:pt>
                <c:pt idx="5">
                  <c:v>2017</c:v>
                </c:pt>
                <c:pt idx="6">
                  <c:v>2018</c:v>
                </c:pt>
              </c:numCache>
            </c:numRef>
          </c:cat>
          <c:val>
            <c:numRef>
              <c:f>Neonatologia!$B$78:$H$78</c:f>
              <c:numCache>
                <c:formatCode>General</c:formatCode>
                <c:ptCount val="7"/>
                <c:pt idx="0">
                  <c:v>14</c:v>
                </c:pt>
                <c:pt idx="1">
                  <c:v>2</c:v>
                </c:pt>
                <c:pt idx="2">
                  <c:v>10</c:v>
                </c:pt>
                <c:pt idx="3">
                  <c:v>13</c:v>
                </c:pt>
                <c:pt idx="4">
                  <c:v>6</c:v>
                </c:pt>
                <c:pt idx="5">
                  <c:v>9</c:v>
                </c:pt>
                <c:pt idx="6">
                  <c:v>10</c:v>
                </c:pt>
              </c:numCache>
            </c:numRef>
          </c:val>
          <c:extLst>
            <c:ext xmlns:c16="http://schemas.microsoft.com/office/drawing/2014/chart" uri="{C3380CC4-5D6E-409C-BE32-E72D297353CC}">
              <c16:uniqueId val="{00000002-929B-4015-9A88-5293169326AA}"/>
            </c:ext>
          </c:extLst>
        </c:ser>
        <c:dLbls>
          <c:showLegendKey val="0"/>
          <c:showVal val="0"/>
          <c:showCatName val="0"/>
          <c:showSerName val="0"/>
          <c:showPercent val="0"/>
          <c:showBubbleSize val="0"/>
        </c:dLbls>
        <c:gapWidth val="219"/>
        <c:overlap val="-27"/>
        <c:axId val="540148872"/>
        <c:axId val="540150512"/>
      </c:barChart>
      <c:catAx>
        <c:axId val="5401488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540150512"/>
        <c:crosses val="autoZero"/>
        <c:auto val="1"/>
        <c:lblAlgn val="ctr"/>
        <c:lblOffset val="100"/>
        <c:noMultiLvlLbl val="0"/>
      </c:catAx>
      <c:valAx>
        <c:axId val="5401505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54014887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312466058543192"/>
          <c:y val="5.2805257003898619E-2"/>
          <c:w val="0.8237935212063805"/>
          <c:h val="0.68900257759744399"/>
        </c:manualLayout>
      </c:layout>
      <c:lineChart>
        <c:grouping val="standard"/>
        <c:varyColors val="0"/>
        <c:ser>
          <c:idx val="0"/>
          <c:order val="0"/>
          <c:tx>
            <c:v>Nacimientos</c:v>
          </c:tx>
          <c:spPr>
            <a:ln w="50800" cap="rnd">
              <a:solidFill>
                <a:schemeClr val="accent1"/>
              </a:solidFill>
              <a:round/>
            </a:ln>
            <a:effectLst/>
          </c:spPr>
          <c:marker>
            <c:symbol val="none"/>
          </c:marker>
          <c:cat>
            <c:numRef>
              <c:f>Hoja1!$C$4:$C$54</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Hoja1!$E$4:$E$54</c:f>
              <c:numCache>
                <c:formatCode>_(* #,##0.00_);_(* \(#,##0.00\);_(* "-"??_);_(@_)</c:formatCode>
                <c:ptCount val="51"/>
                <c:pt idx="0">
                  <c:v>2322.0250000000001</c:v>
                </c:pt>
                <c:pt idx="1">
                  <c:v>2312.8809999999999</c:v>
                </c:pt>
                <c:pt idx="2">
                  <c:v>2302.4580000000001</c:v>
                </c:pt>
                <c:pt idx="3">
                  <c:v>2295.7150000000001</c:v>
                </c:pt>
                <c:pt idx="4">
                  <c:v>2290.395</c:v>
                </c:pt>
                <c:pt idx="5">
                  <c:v>2280.8339999999998</c:v>
                </c:pt>
                <c:pt idx="6">
                  <c:v>2272.605</c:v>
                </c:pt>
                <c:pt idx="7">
                  <c:v>2269.558</c:v>
                </c:pt>
                <c:pt idx="8">
                  <c:v>2270.0279999999998</c:v>
                </c:pt>
                <c:pt idx="9">
                  <c:v>2270.0160000000001</c:v>
                </c:pt>
                <c:pt idx="10">
                  <c:v>2270.2640000000001</c:v>
                </c:pt>
                <c:pt idx="11">
                  <c:v>2269.06</c:v>
                </c:pt>
                <c:pt idx="12">
                  <c:v>2265.538</c:v>
                </c:pt>
                <c:pt idx="13">
                  <c:v>2258.5949999999998</c:v>
                </c:pt>
                <c:pt idx="14">
                  <c:v>2251.5729999999999</c:v>
                </c:pt>
                <c:pt idx="15">
                  <c:v>2238.3969999999999</c:v>
                </c:pt>
                <c:pt idx="16">
                  <c:v>2224.15</c:v>
                </c:pt>
                <c:pt idx="17">
                  <c:v>2205.4899999999998</c:v>
                </c:pt>
                <c:pt idx="18">
                  <c:v>2187.0920000000001</c:v>
                </c:pt>
                <c:pt idx="19">
                  <c:v>2169.0479999999998</c:v>
                </c:pt>
              </c:numCache>
            </c:numRef>
          </c:val>
          <c:smooth val="0"/>
          <c:extLst>
            <c:ext xmlns:c16="http://schemas.microsoft.com/office/drawing/2014/chart" uri="{C3380CC4-5D6E-409C-BE32-E72D297353CC}">
              <c16:uniqueId val="{00000000-53C3-4F8E-A1D8-E681685D875E}"/>
            </c:ext>
          </c:extLst>
        </c:ser>
        <c:ser>
          <c:idx val="1"/>
          <c:order val="1"/>
          <c:tx>
            <c:v>Nacimientos Proyectados</c:v>
          </c:tx>
          <c:spPr>
            <a:ln w="50800" cap="rnd">
              <a:solidFill>
                <a:schemeClr val="accent2"/>
              </a:solidFill>
              <a:prstDash val="sysDot"/>
              <a:round/>
            </a:ln>
            <a:effectLst/>
          </c:spPr>
          <c:marker>
            <c:symbol val="none"/>
          </c:marker>
          <c:cat>
            <c:numRef>
              <c:f>Hoja1!$C$4:$C$54</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Hoja1!$F$4:$F$54</c:f>
              <c:numCache>
                <c:formatCode>General</c:formatCode>
                <c:ptCount val="51"/>
                <c:pt idx="19">
                  <c:v>2169.0479999999998</c:v>
                </c:pt>
                <c:pt idx="20">
                  <c:v>2151.3580000000002</c:v>
                </c:pt>
                <c:pt idx="21">
                  <c:v>2133.951</c:v>
                </c:pt>
                <c:pt idx="22">
                  <c:v>2116.7750000000001</c:v>
                </c:pt>
                <c:pt idx="23">
                  <c:v>2099.8090000000002</c:v>
                </c:pt>
                <c:pt idx="24">
                  <c:v>2083.0100000000002</c:v>
                </c:pt>
                <c:pt idx="25">
                  <c:v>2066.3240000000001</c:v>
                </c:pt>
                <c:pt idx="26">
                  <c:v>2049.7669999999998</c:v>
                </c:pt>
                <c:pt idx="27">
                  <c:v>2033.3910000000001</c:v>
                </c:pt>
                <c:pt idx="28">
                  <c:v>2017.2370000000001</c:v>
                </c:pt>
                <c:pt idx="29">
                  <c:v>2001.347</c:v>
                </c:pt>
                <c:pt idx="30">
                  <c:v>1985.7070000000001</c:v>
                </c:pt>
                <c:pt idx="31">
                  <c:v>1970.29</c:v>
                </c:pt>
                <c:pt idx="32">
                  <c:v>1955.038</c:v>
                </c:pt>
                <c:pt idx="33">
                  <c:v>1939.8720000000001</c:v>
                </c:pt>
                <c:pt idx="34">
                  <c:v>1924.7190000000001</c:v>
                </c:pt>
                <c:pt idx="35">
                  <c:v>1909.5260000000001</c:v>
                </c:pt>
                <c:pt idx="36">
                  <c:v>1894.258</c:v>
                </c:pt>
                <c:pt idx="37">
                  <c:v>1878.8789999999999</c:v>
                </c:pt>
                <c:pt idx="38">
                  <c:v>1863.3679999999999</c:v>
                </c:pt>
                <c:pt idx="39">
                  <c:v>1847.7159999999999</c:v>
                </c:pt>
                <c:pt idx="40">
                  <c:v>1831.9269999999999</c:v>
                </c:pt>
                <c:pt idx="41">
                  <c:v>1816.018</c:v>
                </c:pt>
                <c:pt idx="42">
                  <c:v>1800.0119999999999</c:v>
                </c:pt>
                <c:pt idx="43">
                  <c:v>1783.922</c:v>
                </c:pt>
                <c:pt idx="44">
                  <c:v>1767.7829999999999</c:v>
                </c:pt>
                <c:pt idx="45">
                  <c:v>1751.616</c:v>
                </c:pt>
                <c:pt idx="46">
                  <c:v>1735.451</c:v>
                </c:pt>
                <c:pt idx="47">
                  <c:v>1719.3150000000001</c:v>
                </c:pt>
                <c:pt idx="48">
                  <c:v>1703.232</c:v>
                </c:pt>
                <c:pt idx="49">
                  <c:v>1687.2239999999999</c:v>
                </c:pt>
                <c:pt idx="50">
                  <c:v>1671.327</c:v>
                </c:pt>
              </c:numCache>
            </c:numRef>
          </c:val>
          <c:smooth val="0"/>
          <c:extLst>
            <c:ext xmlns:c16="http://schemas.microsoft.com/office/drawing/2014/chart" uri="{C3380CC4-5D6E-409C-BE32-E72D297353CC}">
              <c16:uniqueId val="{00000001-53C3-4F8E-A1D8-E681685D875E}"/>
            </c:ext>
          </c:extLst>
        </c:ser>
        <c:dLbls>
          <c:showLegendKey val="0"/>
          <c:showVal val="0"/>
          <c:showCatName val="0"/>
          <c:showSerName val="0"/>
          <c:showPercent val="0"/>
          <c:showBubbleSize val="0"/>
        </c:dLbls>
        <c:marker val="1"/>
        <c:smooth val="0"/>
        <c:axId val="344881712"/>
        <c:axId val="344882272"/>
      </c:lineChart>
      <c:lineChart>
        <c:grouping val="standard"/>
        <c:varyColors val="0"/>
        <c:ser>
          <c:idx val="2"/>
          <c:order val="2"/>
          <c:tx>
            <c:v>TGF</c:v>
          </c:tx>
          <c:spPr>
            <a:ln w="50800" cap="rnd">
              <a:solidFill>
                <a:schemeClr val="accent3"/>
              </a:solidFill>
              <a:round/>
            </a:ln>
            <a:effectLst/>
          </c:spPr>
          <c:marker>
            <c:symbol val="none"/>
          </c:marker>
          <c:val>
            <c:numRef>
              <c:f>Hoja1!$L$4:$L$54</c:f>
              <c:numCache>
                <c:formatCode>General</c:formatCode>
                <c:ptCount val="51"/>
                <c:pt idx="0">
                  <c:v>2.67</c:v>
                </c:pt>
                <c:pt idx="1">
                  <c:v>2.62</c:v>
                </c:pt>
                <c:pt idx="2">
                  <c:v>2.58</c:v>
                </c:pt>
                <c:pt idx="3">
                  <c:v>2.54</c:v>
                </c:pt>
                <c:pt idx="4">
                  <c:v>2.5099999999999998</c:v>
                </c:pt>
                <c:pt idx="5">
                  <c:v>2.4700000000000002</c:v>
                </c:pt>
                <c:pt idx="6">
                  <c:v>2.4300000000000002</c:v>
                </c:pt>
                <c:pt idx="7">
                  <c:v>2.4</c:v>
                </c:pt>
                <c:pt idx="8">
                  <c:v>2.37</c:v>
                </c:pt>
                <c:pt idx="9">
                  <c:v>2.34</c:v>
                </c:pt>
                <c:pt idx="10">
                  <c:v>2.31</c:v>
                </c:pt>
                <c:pt idx="11">
                  <c:v>2.2799999999999998</c:v>
                </c:pt>
                <c:pt idx="12">
                  <c:v>2.2599999999999998</c:v>
                </c:pt>
                <c:pt idx="13">
                  <c:v>2.23</c:v>
                </c:pt>
                <c:pt idx="14">
                  <c:v>2.21</c:v>
                </c:pt>
                <c:pt idx="15">
                  <c:v>2.1800000000000002</c:v>
                </c:pt>
                <c:pt idx="16">
                  <c:v>2.16</c:v>
                </c:pt>
                <c:pt idx="17">
                  <c:v>2.13</c:v>
                </c:pt>
                <c:pt idx="18">
                  <c:v>2.1</c:v>
                </c:pt>
                <c:pt idx="19">
                  <c:v>2.08</c:v>
                </c:pt>
                <c:pt idx="20">
                  <c:v>2.0499999999999998</c:v>
                </c:pt>
                <c:pt idx="21">
                  <c:v>2.0299999999999998</c:v>
                </c:pt>
                <c:pt idx="22">
                  <c:v>2.0099999999999998</c:v>
                </c:pt>
                <c:pt idx="23">
                  <c:v>1.99</c:v>
                </c:pt>
                <c:pt idx="24">
                  <c:v>1.97</c:v>
                </c:pt>
                <c:pt idx="25">
                  <c:v>1.96</c:v>
                </c:pt>
                <c:pt idx="26">
                  <c:v>1.94</c:v>
                </c:pt>
                <c:pt idx="27">
                  <c:v>1.92</c:v>
                </c:pt>
                <c:pt idx="28">
                  <c:v>1.91</c:v>
                </c:pt>
                <c:pt idx="29">
                  <c:v>1.89</c:v>
                </c:pt>
                <c:pt idx="30">
                  <c:v>1.88</c:v>
                </c:pt>
                <c:pt idx="31">
                  <c:v>1.87</c:v>
                </c:pt>
                <c:pt idx="32">
                  <c:v>1.86</c:v>
                </c:pt>
                <c:pt idx="33">
                  <c:v>1.84</c:v>
                </c:pt>
                <c:pt idx="34">
                  <c:v>1.83</c:v>
                </c:pt>
                <c:pt idx="35">
                  <c:v>1.82</c:v>
                </c:pt>
                <c:pt idx="36">
                  <c:v>1.81</c:v>
                </c:pt>
                <c:pt idx="37">
                  <c:v>1.8</c:v>
                </c:pt>
                <c:pt idx="38">
                  <c:v>1.8</c:v>
                </c:pt>
                <c:pt idx="39">
                  <c:v>1.79</c:v>
                </c:pt>
                <c:pt idx="40">
                  <c:v>1.78</c:v>
                </c:pt>
                <c:pt idx="41">
                  <c:v>1.77</c:v>
                </c:pt>
                <c:pt idx="42">
                  <c:v>1.77</c:v>
                </c:pt>
                <c:pt idx="43">
                  <c:v>1.76</c:v>
                </c:pt>
                <c:pt idx="44">
                  <c:v>1.75</c:v>
                </c:pt>
                <c:pt idx="45">
                  <c:v>1.75</c:v>
                </c:pt>
                <c:pt idx="46">
                  <c:v>1.74</c:v>
                </c:pt>
                <c:pt idx="47">
                  <c:v>1.74</c:v>
                </c:pt>
                <c:pt idx="48">
                  <c:v>1.73</c:v>
                </c:pt>
                <c:pt idx="49">
                  <c:v>1.73</c:v>
                </c:pt>
                <c:pt idx="50">
                  <c:v>1.72</c:v>
                </c:pt>
              </c:numCache>
            </c:numRef>
          </c:val>
          <c:smooth val="0"/>
          <c:extLst>
            <c:ext xmlns:c16="http://schemas.microsoft.com/office/drawing/2014/chart" uri="{C3380CC4-5D6E-409C-BE32-E72D297353CC}">
              <c16:uniqueId val="{00000002-53C3-4F8E-A1D8-E681685D875E}"/>
            </c:ext>
          </c:extLst>
        </c:ser>
        <c:dLbls>
          <c:showLegendKey val="0"/>
          <c:showVal val="0"/>
          <c:showCatName val="0"/>
          <c:showSerName val="0"/>
          <c:showPercent val="0"/>
          <c:showBubbleSize val="0"/>
        </c:dLbls>
        <c:marker val="1"/>
        <c:smooth val="0"/>
        <c:axId val="344883392"/>
        <c:axId val="344882832"/>
      </c:lineChart>
      <c:catAx>
        <c:axId val="344881712"/>
        <c:scaling>
          <c:orientation val="minMax"/>
        </c:scaling>
        <c:delete val="0"/>
        <c:axPos val="b"/>
        <c:majorGridlines>
          <c:spPr>
            <a:ln w="9525" cap="flat" cmpd="sng" algn="ctr">
              <a:solidFill>
                <a:schemeClr val="dk1">
                  <a:lumMod val="15000"/>
                  <a:lumOff val="85000"/>
                  <a:alpha val="54000"/>
                </a:schemeClr>
              </a:solidFill>
              <a:round/>
            </a:ln>
            <a:effectLst/>
          </c:spPr>
        </c:majorGridlines>
        <c:minorGridlines>
          <c:spPr>
            <a:ln w="9525" cap="flat" cmpd="sng" algn="ctr">
              <a:solidFill>
                <a:schemeClr val="dk1">
                  <a:lumMod val="15000"/>
                  <a:lumOff val="85000"/>
                  <a:alpha val="51000"/>
                </a:schemeClr>
              </a:solidFill>
              <a:round/>
            </a:ln>
            <a:effectLst/>
          </c:spPr>
        </c:min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es-MX"/>
          </a:p>
        </c:txPr>
        <c:crossAx val="344882272"/>
        <c:crosses val="autoZero"/>
        <c:auto val="1"/>
        <c:lblAlgn val="ctr"/>
        <c:lblOffset val="100"/>
        <c:noMultiLvlLbl val="0"/>
      </c:catAx>
      <c:valAx>
        <c:axId val="344882272"/>
        <c:scaling>
          <c:orientation val="minMax"/>
          <c:min val="1400"/>
        </c:scaling>
        <c:delete val="0"/>
        <c:axPos val="l"/>
        <c:majorGridlines>
          <c:spPr>
            <a:ln w="9525" cap="flat" cmpd="sng" algn="ctr">
              <a:solidFill>
                <a:schemeClr val="dk1">
                  <a:lumMod val="15000"/>
                  <a:lumOff val="85000"/>
                  <a:alpha val="54000"/>
                </a:schemeClr>
              </a:solidFill>
              <a:round/>
            </a:ln>
            <a:effectLst/>
          </c:spPr>
        </c:majorGridlines>
        <c:title>
          <c:tx>
            <c:rich>
              <a:bodyPr rot="-5400000" spcFirstLastPara="1" vertOverflow="ellipsis" vert="horz" wrap="square" anchor="ctr" anchorCtr="1"/>
              <a:lstStyle/>
              <a:p>
                <a:pPr>
                  <a:defRPr sz="900" b="1" i="0" u="none" strike="noStrike" kern="1200" baseline="0">
                    <a:solidFill>
                      <a:schemeClr val="dk1">
                        <a:lumMod val="65000"/>
                        <a:lumOff val="35000"/>
                      </a:schemeClr>
                    </a:solidFill>
                    <a:latin typeface="+mn-lt"/>
                    <a:ea typeface="+mn-ea"/>
                    <a:cs typeface="+mn-cs"/>
                  </a:defRPr>
                </a:pPr>
                <a:r>
                  <a:rPr lang="en-US"/>
                  <a:t>Nacimientos (miles)</a:t>
                </a:r>
              </a:p>
            </c:rich>
          </c:tx>
          <c:overlay val="0"/>
          <c:spPr>
            <a:noFill/>
            <a:ln>
              <a:noFill/>
            </a:ln>
            <a:effectLst/>
          </c:spPr>
          <c:txPr>
            <a:bodyPr rot="-5400000" spcFirstLastPara="1" vertOverflow="ellipsis" vert="horz" wrap="square" anchor="ctr" anchorCtr="1"/>
            <a:lstStyle/>
            <a:p>
              <a:pPr>
                <a:defRPr sz="900" b="1" i="0" u="none" strike="noStrike" kern="1200" baseline="0">
                  <a:solidFill>
                    <a:schemeClr val="dk1">
                      <a:lumMod val="65000"/>
                      <a:lumOff val="35000"/>
                    </a:schemeClr>
                  </a:solidFill>
                  <a:latin typeface="+mn-lt"/>
                  <a:ea typeface="+mn-ea"/>
                  <a:cs typeface="+mn-cs"/>
                </a:defRPr>
              </a:pPr>
              <a:endParaRPr lang="es-MX"/>
            </a:p>
          </c:txPr>
        </c:title>
        <c:numFmt formatCode="_(* #,##0_);_(* \(#,##0\);_(* &quot;-&quot;_);_(@_)"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MX"/>
          </a:p>
        </c:txPr>
        <c:crossAx val="344881712"/>
        <c:crosses val="autoZero"/>
        <c:crossBetween val="between"/>
      </c:valAx>
      <c:valAx>
        <c:axId val="344882832"/>
        <c:scaling>
          <c:orientation val="minMax"/>
        </c:scaling>
        <c:delete val="0"/>
        <c:axPos val="r"/>
        <c:title>
          <c:tx>
            <c:rich>
              <a:bodyPr rot="-5400000" spcFirstLastPara="1" vertOverflow="ellipsis" vert="horz" wrap="square" anchor="ctr" anchorCtr="1"/>
              <a:lstStyle/>
              <a:p>
                <a:pPr>
                  <a:defRPr sz="900" b="1" i="0" u="none" strike="noStrike" kern="1200" baseline="0">
                    <a:solidFill>
                      <a:schemeClr val="dk1">
                        <a:lumMod val="65000"/>
                        <a:lumOff val="35000"/>
                      </a:schemeClr>
                    </a:solidFill>
                    <a:latin typeface="+mn-lt"/>
                    <a:ea typeface="+mn-ea"/>
                    <a:cs typeface="+mn-cs"/>
                  </a:defRPr>
                </a:pPr>
                <a:r>
                  <a:rPr lang="en-US"/>
                  <a:t>Hijos nacidos</a:t>
                </a:r>
              </a:p>
            </c:rich>
          </c:tx>
          <c:overlay val="0"/>
          <c:spPr>
            <a:noFill/>
            <a:ln>
              <a:noFill/>
            </a:ln>
            <a:effectLst/>
          </c:spPr>
          <c:txPr>
            <a:bodyPr rot="-5400000" spcFirstLastPara="1" vertOverflow="ellipsis" vert="horz" wrap="square" anchor="ctr" anchorCtr="1"/>
            <a:lstStyle/>
            <a:p>
              <a:pPr>
                <a:defRPr sz="900" b="1" i="0" u="none" strike="noStrike" kern="1200" baseline="0">
                  <a:solidFill>
                    <a:schemeClr val="dk1">
                      <a:lumMod val="65000"/>
                      <a:lumOff val="35000"/>
                    </a:schemeClr>
                  </a:solidFill>
                  <a:latin typeface="+mn-lt"/>
                  <a:ea typeface="+mn-ea"/>
                  <a:cs typeface="+mn-cs"/>
                </a:defRPr>
              </a:pPr>
              <a:endParaRPr lang="es-MX"/>
            </a:p>
          </c:txPr>
        </c:title>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MX"/>
          </a:p>
        </c:txPr>
        <c:crossAx val="344883392"/>
        <c:crosses val="max"/>
        <c:crossBetween val="between"/>
      </c:valAx>
      <c:catAx>
        <c:axId val="344883392"/>
        <c:scaling>
          <c:orientation val="minMax"/>
        </c:scaling>
        <c:delete val="1"/>
        <c:axPos val="b"/>
        <c:majorTickMark val="out"/>
        <c:minorTickMark val="none"/>
        <c:tickLblPos val="nextTo"/>
        <c:crossAx val="344882832"/>
        <c:crosses val="autoZero"/>
        <c:auto val="1"/>
        <c:lblAlgn val="ctr"/>
        <c:lblOffset val="100"/>
        <c:noMultiLvlLbl val="0"/>
      </c:catAx>
      <c:spPr>
        <a:pattFill prst="ltDnDiag">
          <a:fgClr>
            <a:schemeClr val="dk1">
              <a:lumMod val="15000"/>
              <a:lumOff val="85000"/>
            </a:schemeClr>
          </a:fgClr>
          <a:bgClr>
            <a:schemeClr val="lt1"/>
          </a:bgClr>
        </a:pattFill>
        <a:ln>
          <a:noFill/>
        </a:ln>
        <a:effectLst/>
      </c:spPr>
    </c:plotArea>
    <c:legend>
      <c:legendPos val="r"/>
      <c:layout>
        <c:manualLayout>
          <c:xMode val="edge"/>
          <c:yMode val="edge"/>
          <c:x val="0.11078974941415233"/>
          <c:y val="0.87559253705500506"/>
          <c:w val="0.79125387677909631"/>
          <c:h val="0.1023646835590030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MX"/>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es-MX"/>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760370839592098"/>
          <c:y val="7.0568121989932606E-2"/>
          <c:w val="0.85583138665711589"/>
          <c:h val="0.71145666377195083"/>
        </c:manualLayout>
      </c:layout>
      <c:lineChart>
        <c:grouping val="standard"/>
        <c:varyColors val="0"/>
        <c:ser>
          <c:idx val="1"/>
          <c:order val="0"/>
          <c:tx>
            <c:v>Tendencia</c:v>
          </c:tx>
          <c:spPr>
            <a:ln w="50800" cap="rnd">
              <a:solidFill>
                <a:srgbClr val="FF0000"/>
              </a:solidFill>
              <a:round/>
            </a:ln>
            <a:effectLst/>
          </c:spPr>
          <c:marker>
            <c:symbol val="none"/>
          </c:marker>
          <c:cat>
            <c:strRef>
              <c:f>'[f4eb3b93-e8f0-4887-804c-0f65ac4417bb.xls]Hoja3'!$C$6:$C$23</c:f>
              <c:strCache>
                <c:ptCount val="18"/>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strCache>
            </c:strRef>
          </c:cat>
          <c:val>
            <c:numRef>
              <c:f>'[f4eb3b93-e8f0-4887-804c-0f65ac4417bb.xls]Hoja3'!$E$6:$E$23</c:f>
              <c:numCache>
                <c:formatCode>General</c:formatCode>
                <c:ptCount val="18"/>
                <c:pt idx="0">
                  <c:v>0.89728644532773805</c:v>
                </c:pt>
                <c:pt idx="1">
                  <c:v>0.91282126242188599</c:v>
                </c:pt>
                <c:pt idx="2">
                  <c:v>0.94047500529474504</c:v>
                </c:pt>
                <c:pt idx="3">
                  <c:v>0.98522972265470898</c:v>
                </c:pt>
                <c:pt idx="4">
                  <c:v>1.04365496232772</c:v>
                </c:pt>
                <c:pt idx="5">
                  <c:v>1.1081153183639301</c:v>
                </c:pt>
                <c:pt idx="6">
                  <c:v>1.1686995577588599</c:v>
                </c:pt>
                <c:pt idx="7">
                  <c:v>1.21747722778075</c:v>
                </c:pt>
                <c:pt idx="8">
                  <c:v>1.2550679494046499</c:v>
                </c:pt>
                <c:pt idx="9">
                  <c:v>1.2858451389754999</c:v>
                </c:pt>
                <c:pt idx="10">
                  <c:v>1.31667088793749</c:v>
                </c:pt>
                <c:pt idx="11">
                  <c:v>1.35009976457218</c:v>
                </c:pt>
                <c:pt idx="12">
                  <c:v>1.38257452250493</c:v>
                </c:pt>
                <c:pt idx="13">
                  <c:v>1.4105212879323701</c:v>
                </c:pt>
                <c:pt idx="14">
                  <c:v>1.42660376663366</c:v>
                </c:pt>
                <c:pt idx="15">
                  <c:v>1.42173211639921</c:v>
                </c:pt>
                <c:pt idx="16">
                  <c:v>1.3873825339138399</c:v>
                </c:pt>
                <c:pt idx="17">
                  <c:v>1.3297425297958301</c:v>
                </c:pt>
              </c:numCache>
            </c:numRef>
          </c:val>
          <c:smooth val="0"/>
          <c:extLst>
            <c:ext xmlns:c16="http://schemas.microsoft.com/office/drawing/2014/chart" uri="{C3380CC4-5D6E-409C-BE32-E72D297353CC}">
              <c16:uniqueId val="{00000000-F6F5-42C1-84BB-99836704F927}"/>
            </c:ext>
          </c:extLst>
        </c:ser>
        <c:ser>
          <c:idx val="0"/>
          <c:order val="1"/>
          <c:tx>
            <c:v>Tasa médicos especialistas</c:v>
          </c:tx>
          <c:spPr>
            <a:ln w="63500" cap="rnd">
              <a:solidFill>
                <a:schemeClr val="accent1"/>
              </a:solidFill>
              <a:round/>
            </a:ln>
            <a:effectLst/>
          </c:spPr>
          <c:marker>
            <c:symbol val="circle"/>
            <c:size val="8"/>
            <c:spPr>
              <a:solidFill>
                <a:schemeClr val="lt1"/>
              </a:solidFill>
              <a:ln w="15875">
                <a:solidFill>
                  <a:schemeClr val="accent1"/>
                </a:solidFill>
                <a:round/>
              </a:ln>
              <a:effectLst/>
            </c:spPr>
          </c:marker>
          <c:cat>
            <c:strRef>
              <c:f>'[f4eb3b93-e8f0-4887-804c-0f65ac4417bb.xls]Hoja3'!$C$6:$C$23</c:f>
              <c:strCache>
                <c:ptCount val="18"/>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strCache>
            </c:strRef>
          </c:cat>
          <c:val>
            <c:numRef>
              <c:f>'[f4eb3b93-e8f0-4887-804c-0f65ac4417bb.xls]Hoja3'!$D$6:$D$23</c:f>
              <c:numCache>
                <c:formatCode>General</c:formatCode>
                <c:ptCount val="18"/>
                <c:pt idx="0">
                  <c:v>0.97</c:v>
                </c:pt>
                <c:pt idx="1">
                  <c:v>0.87</c:v>
                </c:pt>
                <c:pt idx="2">
                  <c:v>0.89</c:v>
                </c:pt>
                <c:pt idx="3">
                  <c:v>0.96</c:v>
                </c:pt>
                <c:pt idx="4">
                  <c:v>1.03</c:v>
                </c:pt>
                <c:pt idx="5">
                  <c:v>1.1200000000000001</c:v>
                </c:pt>
                <c:pt idx="6">
                  <c:v>1.22</c:v>
                </c:pt>
                <c:pt idx="7">
                  <c:v>1.24</c:v>
                </c:pt>
                <c:pt idx="8">
                  <c:v>1.27</c:v>
                </c:pt>
                <c:pt idx="9">
                  <c:v>1.26</c:v>
                </c:pt>
                <c:pt idx="10">
                  <c:v>1.28</c:v>
                </c:pt>
                <c:pt idx="11">
                  <c:v>1.35</c:v>
                </c:pt>
                <c:pt idx="12">
                  <c:v>1.36</c:v>
                </c:pt>
                <c:pt idx="13">
                  <c:v>1.4</c:v>
                </c:pt>
                <c:pt idx="14">
                  <c:v>1.43</c:v>
                </c:pt>
                <c:pt idx="15">
                  <c:v>1.51</c:v>
                </c:pt>
                <c:pt idx="16">
                  <c:v>1.49</c:v>
                </c:pt>
                <c:pt idx="17">
                  <c:v>1.19</c:v>
                </c:pt>
              </c:numCache>
            </c:numRef>
          </c:val>
          <c:smooth val="0"/>
          <c:extLst>
            <c:ext xmlns:c16="http://schemas.microsoft.com/office/drawing/2014/chart" uri="{C3380CC4-5D6E-409C-BE32-E72D297353CC}">
              <c16:uniqueId val="{00000001-F6F5-42C1-84BB-99836704F927}"/>
            </c:ext>
          </c:extLst>
        </c:ser>
        <c:dLbls>
          <c:showLegendKey val="0"/>
          <c:showVal val="0"/>
          <c:showCatName val="0"/>
          <c:showSerName val="0"/>
          <c:showPercent val="0"/>
          <c:showBubbleSize val="0"/>
        </c:dLbls>
        <c:smooth val="0"/>
        <c:axId val="344886192"/>
        <c:axId val="344886752"/>
      </c:lineChart>
      <c:catAx>
        <c:axId val="344886192"/>
        <c:scaling>
          <c:orientation val="minMax"/>
        </c:scaling>
        <c:delete val="0"/>
        <c:axPos val="b"/>
        <c:majorGridlines>
          <c:spPr>
            <a:ln w="9525" cap="flat" cmpd="sng" algn="ctr">
              <a:solidFill>
                <a:schemeClr val="dk1">
                  <a:lumMod val="15000"/>
                  <a:lumOff val="85000"/>
                  <a:alpha val="54000"/>
                </a:schemeClr>
              </a:solidFill>
              <a:round/>
            </a:ln>
            <a:effectLst/>
          </c:spPr>
        </c:majorGridlines>
        <c:minorGridlines>
          <c:spPr>
            <a:ln w="9525" cap="flat" cmpd="sng" algn="ctr">
              <a:solidFill>
                <a:schemeClr val="dk1">
                  <a:lumMod val="15000"/>
                  <a:lumOff val="85000"/>
                  <a:alpha val="51000"/>
                </a:schemeClr>
              </a:solidFill>
              <a:round/>
            </a:ln>
            <a:effectLst/>
          </c:spPr>
        </c:min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1" i="0" u="none" strike="noStrike" kern="1200" cap="none" spc="0" normalizeH="0" baseline="0">
                <a:solidFill>
                  <a:schemeClr val="dk1">
                    <a:lumMod val="65000"/>
                    <a:lumOff val="35000"/>
                  </a:schemeClr>
                </a:solidFill>
                <a:latin typeface="+mn-lt"/>
                <a:ea typeface="+mn-ea"/>
                <a:cs typeface="+mn-cs"/>
              </a:defRPr>
            </a:pPr>
            <a:endParaRPr lang="es-MX"/>
          </a:p>
        </c:txPr>
        <c:crossAx val="344886752"/>
        <c:crosses val="autoZero"/>
        <c:auto val="1"/>
        <c:lblAlgn val="ctr"/>
        <c:lblOffset val="100"/>
        <c:noMultiLvlLbl val="0"/>
      </c:catAx>
      <c:valAx>
        <c:axId val="344886752"/>
        <c:scaling>
          <c:orientation val="minMax"/>
          <c:min val="0.70000000000000007"/>
        </c:scaling>
        <c:delete val="0"/>
        <c:axPos val="l"/>
        <c:majorGridlines>
          <c:spPr>
            <a:ln w="9525" cap="flat" cmpd="sng" algn="ctr">
              <a:solidFill>
                <a:schemeClr val="dk1">
                  <a:lumMod val="15000"/>
                  <a:lumOff val="85000"/>
                  <a:alpha val="54000"/>
                </a:schemeClr>
              </a:solidFill>
              <a:round/>
            </a:ln>
            <a:effectLst/>
          </c:spPr>
        </c:majorGridlines>
        <c:title>
          <c:tx>
            <c:rich>
              <a:bodyPr rot="-5400000" spcFirstLastPara="1" vertOverflow="ellipsis" vert="horz" wrap="square" anchor="ctr" anchorCtr="1"/>
              <a:lstStyle/>
              <a:p>
                <a:pPr>
                  <a:defRPr sz="900" b="1" i="0" u="none" strike="noStrike" kern="1200" baseline="0">
                    <a:solidFill>
                      <a:schemeClr val="dk1">
                        <a:lumMod val="65000"/>
                        <a:lumOff val="35000"/>
                      </a:schemeClr>
                    </a:solidFill>
                    <a:latin typeface="+mn-lt"/>
                    <a:ea typeface="+mn-ea"/>
                    <a:cs typeface="+mn-cs"/>
                  </a:defRPr>
                </a:pPr>
                <a:r>
                  <a:rPr lang="es-MX"/>
                  <a:t>Médicos especialistas por 1,000</a:t>
                </a:r>
                <a:r>
                  <a:rPr lang="es-MX" baseline="0"/>
                  <a:t> habitantes</a:t>
                </a:r>
                <a:endParaRPr lang="es-MX"/>
              </a:p>
            </c:rich>
          </c:tx>
          <c:overlay val="0"/>
          <c:spPr>
            <a:noFill/>
            <a:ln>
              <a:noFill/>
            </a:ln>
            <a:effectLst/>
          </c:spPr>
          <c:txPr>
            <a:bodyPr rot="-5400000" spcFirstLastPara="1" vertOverflow="ellipsis" vert="horz" wrap="square" anchor="ctr" anchorCtr="1"/>
            <a:lstStyle/>
            <a:p>
              <a:pPr>
                <a:defRPr sz="900" b="1" i="0" u="none" strike="noStrike" kern="1200" baseline="0">
                  <a:solidFill>
                    <a:schemeClr val="dk1">
                      <a:lumMod val="65000"/>
                      <a:lumOff val="35000"/>
                    </a:schemeClr>
                  </a:solidFill>
                  <a:latin typeface="+mn-lt"/>
                  <a:ea typeface="+mn-ea"/>
                  <a:cs typeface="+mn-cs"/>
                </a:defRPr>
              </a:pPr>
              <a:endParaRPr lang="es-MX"/>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dk1">
                    <a:lumMod val="65000"/>
                    <a:lumOff val="35000"/>
                  </a:schemeClr>
                </a:solidFill>
                <a:latin typeface="+mn-lt"/>
                <a:ea typeface="+mn-ea"/>
                <a:cs typeface="+mn-cs"/>
              </a:defRPr>
            </a:pPr>
            <a:endParaRPr lang="es-MX"/>
          </a:p>
        </c:txPr>
        <c:crossAx val="344886192"/>
        <c:crosses val="autoZero"/>
        <c:crossBetween val="between"/>
      </c:valAx>
      <c:spPr>
        <a:pattFill prst="ltDnDiag">
          <a:fgClr>
            <a:schemeClr val="dk1">
              <a:lumMod val="15000"/>
              <a:lumOff val="85000"/>
            </a:schemeClr>
          </a:fgClr>
          <a:bgClr>
            <a:schemeClr val="lt1"/>
          </a:bgClr>
        </a:pattFill>
        <a:ln>
          <a:noFill/>
        </a:ln>
        <a:effectLst/>
      </c:spPr>
    </c:plotArea>
    <c:legend>
      <c:legendPos val="r"/>
      <c:layout>
        <c:manualLayout>
          <c:xMode val="edge"/>
          <c:yMode val="edge"/>
          <c:x val="0.27165427850930396"/>
          <c:y val="0.875205766165006"/>
          <c:w val="0.50460144536727425"/>
          <c:h val="9.1461080417157017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MX"/>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es-MX"/>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Pt>
            <c:idx val="13"/>
            <c:invertIfNegative val="0"/>
            <c:bubble3D val="0"/>
            <c:spPr>
              <a:solidFill>
                <a:srgbClr val="FF0000"/>
              </a:solidFill>
              <a:ln>
                <a:solidFill>
                  <a:srgbClr val="FF0000"/>
                </a:solidFill>
              </a:ln>
              <a:effectLst/>
            </c:spPr>
            <c:extLst>
              <c:ext xmlns:c16="http://schemas.microsoft.com/office/drawing/2014/chart" uri="{C3380CC4-5D6E-409C-BE32-E72D297353CC}">
                <c16:uniqueId val="{00000001-4B86-4B56-B186-CC8FDD4EFD01}"/>
              </c:ext>
            </c:extLst>
          </c:dPt>
          <c:dPt>
            <c:idx val="25"/>
            <c:invertIfNegative val="0"/>
            <c:bubble3D val="0"/>
            <c:spPr>
              <a:solidFill>
                <a:srgbClr val="00B050"/>
              </a:solidFill>
              <a:ln>
                <a:noFill/>
              </a:ln>
              <a:effectLst/>
            </c:spPr>
            <c:extLst>
              <c:ext xmlns:c16="http://schemas.microsoft.com/office/drawing/2014/chart" uri="{C3380CC4-5D6E-409C-BE32-E72D297353CC}">
                <c16:uniqueId val="{00000003-4B86-4B56-B186-CC8FDD4EFD01}"/>
              </c:ext>
            </c:extLst>
          </c:dPt>
          <c:dLbls>
            <c:dLbl>
              <c:idx val="13"/>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B86-4B56-B186-CC8FDD4EFD01}"/>
                </c:ext>
              </c:extLst>
            </c:dLbl>
            <c:dLbl>
              <c:idx val="25"/>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4B86-4B56-B186-CC8FDD4EFD01}"/>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dk1">
                        <a:lumMod val="75000"/>
                        <a:lumOff val="25000"/>
                      </a:schemeClr>
                    </a:solidFill>
                    <a:latin typeface="+mn-lt"/>
                    <a:ea typeface="+mn-ea"/>
                    <a:cs typeface="+mn-cs"/>
                  </a:defRPr>
                </a:pPr>
                <a:endParaRPr lang="es-MX"/>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'[f4eb3b93-e8f0-4887-804c-0f65ac4417bb.xls]Hoja4'!$B$6:$B$35</c:f>
              <c:strCache>
                <c:ptCount val="30"/>
                <c:pt idx="0">
                  <c:v>Grecia</c:v>
                </c:pt>
                <c:pt idx="1">
                  <c:v>Lituania</c:v>
                </c:pt>
                <c:pt idx="2">
                  <c:v>Alemania</c:v>
                </c:pt>
                <c:pt idx="3">
                  <c:v>Italia</c:v>
                </c:pt>
                <c:pt idx="4">
                  <c:v>Austria</c:v>
                </c:pt>
                <c:pt idx="5">
                  <c:v>Estonia</c:v>
                </c:pt>
                <c:pt idx="6">
                  <c:v>España</c:v>
                </c:pt>
                <c:pt idx="7">
                  <c:v>Suiza</c:v>
                </c:pt>
                <c:pt idx="8">
                  <c:v>Latvia</c:v>
                </c:pt>
                <c:pt idx="9">
                  <c:v>Islandia</c:v>
                </c:pt>
                <c:pt idx="10">
                  <c:v>Portugal</c:v>
                </c:pt>
                <c:pt idx="11">
                  <c:v>Israel</c:v>
                </c:pt>
                <c:pt idx="12">
                  <c:v>EUA</c:v>
                </c:pt>
                <c:pt idx="13">
                  <c:v>OCDE</c:v>
                </c:pt>
                <c:pt idx="14">
                  <c:v>Eslovenia</c:v>
                </c:pt>
                <c:pt idx="15">
                  <c:v>Luxemburgo</c:v>
                </c:pt>
                <c:pt idx="16">
                  <c:v>Reino Unido</c:v>
                </c:pt>
                <c:pt idx="17">
                  <c:v>Polonia</c:v>
                </c:pt>
                <c:pt idx="18">
                  <c:v>Holanda</c:v>
                </c:pt>
                <c:pt idx="19">
                  <c:v>Bélgica</c:v>
                </c:pt>
                <c:pt idx="20">
                  <c:v>Noruega</c:v>
                </c:pt>
                <c:pt idx="21">
                  <c:v>Francia</c:v>
                </c:pt>
                <c:pt idx="22">
                  <c:v>Australia</c:v>
                </c:pt>
                <c:pt idx="23">
                  <c:v>Nueva Zelanda</c:v>
                </c:pt>
                <c:pt idx="24">
                  <c:v>Corea</c:v>
                </c:pt>
                <c:pt idx="25">
                  <c:v>México</c:v>
                </c:pt>
                <c:pt idx="26">
                  <c:v>Canadá</c:v>
                </c:pt>
                <c:pt idx="27">
                  <c:v>Irlanda</c:v>
                </c:pt>
                <c:pt idx="28">
                  <c:v>Turquía</c:v>
                </c:pt>
                <c:pt idx="29">
                  <c:v>Chile</c:v>
                </c:pt>
              </c:strCache>
            </c:strRef>
          </c:cat>
          <c:val>
            <c:numRef>
              <c:f>'[f4eb3b93-e8f0-4887-804c-0f65ac4417bb.xls]Hoja4'!$C$6:$C$35</c:f>
              <c:numCache>
                <c:formatCode>General</c:formatCode>
                <c:ptCount val="30"/>
                <c:pt idx="0">
                  <c:v>4.9000000000000004</c:v>
                </c:pt>
                <c:pt idx="1">
                  <c:v>3.47</c:v>
                </c:pt>
                <c:pt idx="2">
                  <c:v>3.21</c:v>
                </c:pt>
                <c:pt idx="3">
                  <c:v>3.06</c:v>
                </c:pt>
                <c:pt idx="4">
                  <c:v>2.72</c:v>
                </c:pt>
                <c:pt idx="5">
                  <c:v>2.65</c:v>
                </c:pt>
                <c:pt idx="6">
                  <c:v>2.52</c:v>
                </c:pt>
                <c:pt idx="7">
                  <c:v>2.5099999999999998</c:v>
                </c:pt>
                <c:pt idx="8">
                  <c:v>2.4900000000000002</c:v>
                </c:pt>
                <c:pt idx="9">
                  <c:v>2.44</c:v>
                </c:pt>
                <c:pt idx="10">
                  <c:v>2.41</c:v>
                </c:pt>
                <c:pt idx="11">
                  <c:v>2.29</c:v>
                </c:pt>
                <c:pt idx="12">
                  <c:v>2.2799999999999998</c:v>
                </c:pt>
                <c:pt idx="13">
                  <c:v>2.2200000000000002</c:v>
                </c:pt>
                <c:pt idx="14">
                  <c:v>2.19</c:v>
                </c:pt>
                <c:pt idx="15">
                  <c:v>2.02</c:v>
                </c:pt>
                <c:pt idx="16">
                  <c:v>2.02</c:v>
                </c:pt>
                <c:pt idx="17">
                  <c:v>1.99</c:v>
                </c:pt>
                <c:pt idx="18">
                  <c:v>1.93</c:v>
                </c:pt>
                <c:pt idx="19">
                  <c:v>1.89</c:v>
                </c:pt>
                <c:pt idx="20">
                  <c:v>1.86</c:v>
                </c:pt>
                <c:pt idx="21">
                  <c:v>1.82</c:v>
                </c:pt>
                <c:pt idx="22">
                  <c:v>1.78</c:v>
                </c:pt>
                <c:pt idx="23">
                  <c:v>1.68</c:v>
                </c:pt>
                <c:pt idx="24">
                  <c:v>1.67</c:v>
                </c:pt>
                <c:pt idx="25">
                  <c:v>1.49</c:v>
                </c:pt>
                <c:pt idx="26">
                  <c:v>1.41</c:v>
                </c:pt>
                <c:pt idx="27">
                  <c:v>1.39</c:v>
                </c:pt>
                <c:pt idx="28">
                  <c:v>1.25</c:v>
                </c:pt>
                <c:pt idx="29">
                  <c:v>1.1499999999999999</c:v>
                </c:pt>
              </c:numCache>
            </c:numRef>
          </c:val>
          <c:extLst>
            <c:ext xmlns:c16="http://schemas.microsoft.com/office/drawing/2014/chart" uri="{C3380CC4-5D6E-409C-BE32-E72D297353CC}">
              <c16:uniqueId val="{00000004-4B86-4B56-B186-CC8FDD4EFD01}"/>
            </c:ext>
          </c:extLst>
        </c:ser>
        <c:dLbls>
          <c:showLegendKey val="0"/>
          <c:showVal val="0"/>
          <c:showCatName val="0"/>
          <c:showSerName val="0"/>
          <c:showPercent val="0"/>
          <c:showBubbleSize val="0"/>
        </c:dLbls>
        <c:gapWidth val="90"/>
        <c:overlap val="50"/>
        <c:axId val="466921312"/>
        <c:axId val="466921872"/>
      </c:barChart>
      <c:catAx>
        <c:axId val="466921312"/>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1" i="0" u="none" strike="noStrike" kern="1200" cap="none" spc="0" normalizeH="0" baseline="0">
                <a:solidFill>
                  <a:schemeClr val="dk1">
                    <a:lumMod val="65000"/>
                    <a:lumOff val="35000"/>
                  </a:schemeClr>
                </a:solidFill>
                <a:latin typeface="+mn-lt"/>
                <a:ea typeface="+mn-ea"/>
                <a:cs typeface="+mn-cs"/>
              </a:defRPr>
            </a:pPr>
            <a:endParaRPr lang="es-MX"/>
          </a:p>
        </c:txPr>
        <c:crossAx val="466921872"/>
        <c:crosses val="autoZero"/>
        <c:auto val="1"/>
        <c:lblAlgn val="ctr"/>
        <c:lblOffset val="100"/>
        <c:noMultiLvlLbl val="0"/>
      </c:catAx>
      <c:valAx>
        <c:axId val="466921872"/>
        <c:scaling>
          <c:orientation val="minMax"/>
        </c:scaling>
        <c:delete val="0"/>
        <c:axPos val="l"/>
        <c:majorGridlines>
          <c:spPr>
            <a:ln w="9525" cap="flat" cmpd="sng" algn="ctr">
              <a:solidFill>
                <a:schemeClr val="dk1">
                  <a:lumMod val="15000"/>
                  <a:lumOff val="85000"/>
                </a:schemeClr>
              </a:solidFill>
              <a:round/>
            </a:ln>
            <a:effectLst/>
          </c:spPr>
        </c:majorGridlines>
        <c:title>
          <c:tx>
            <c:rich>
              <a:bodyPr rot="-5400000" spcFirstLastPara="1" vertOverflow="ellipsis" vert="horz" wrap="square" anchor="ctr" anchorCtr="1"/>
              <a:lstStyle/>
              <a:p>
                <a:pPr>
                  <a:defRPr sz="900" b="1" i="0" u="none" strike="noStrike" kern="1200" baseline="0">
                    <a:solidFill>
                      <a:schemeClr val="dk1">
                        <a:lumMod val="65000"/>
                        <a:lumOff val="35000"/>
                      </a:schemeClr>
                    </a:solidFill>
                    <a:latin typeface="+mn-lt"/>
                    <a:ea typeface="+mn-ea"/>
                    <a:cs typeface="+mn-cs"/>
                  </a:defRPr>
                </a:pPr>
                <a:r>
                  <a:rPr lang="en-US"/>
                  <a:t>Tasa de médicos especialistas por 1,000 habitantes</a:t>
                </a:r>
              </a:p>
            </c:rich>
          </c:tx>
          <c:overlay val="0"/>
          <c:spPr>
            <a:noFill/>
            <a:ln>
              <a:noFill/>
            </a:ln>
            <a:effectLst/>
          </c:spPr>
          <c:txPr>
            <a:bodyPr rot="-5400000" spcFirstLastPara="1" vertOverflow="ellipsis" vert="horz" wrap="square" anchor="ctr" anchorCtr="1"/>
            <a:lstStyle/>
            <a:p>
              <a:pPr>
                <a:defRPr sz="900" b="1" i="0" u="none" strike="noStrike" kern="1200" baseline="0">
                  <a:solidFill>
                    <a:schemeClr val="dk1">
                      <a:lumMod val="65000"/>
                      <a:lumOff val="35000"/>
                    </a:schemeClr>
                  </a:solidFill>
                  <a:latin typeface="+mn-lt"/>
                  <a:ea typeface="+mn-ea"/>
                  <a:cs typeface="+mn-cs"/>
                </a:defRPr>
              </a:pPr>
              <a:endParaRPr lang="es-MX"/>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dk1">
                    <a:lumMod val="65000"/>
                    <a:lumOff val="35000"/>
                  </a:schemeClr>
                </a:solidFill>
                <a:latin typeface="+mn-lt"/>
                <a:ea typeface="+mn-ea"/>
                <a:cs typeface="+mn-cs"/>
              </a:defRPr>
            </a:pPr>
            <a:endParaRPr lang="es-MX"/>
          </a:p>
        </c:txPr>
        <c:crossAx val="466921312"/>
        <c:crosses val="autoZero"/>
        <c:crossBetween val="between"/>
      </c:valAx>
      <c:spPr>
        <a:pattFill prst="ltDnDiag">
          <a:fgClr>
            <a:schemeClr val="dk1">
              <a:lumMod val="15000"/>
              <a:lumOff val="85000"/>
            </a:schemeClr>
          </a:fgClr>
          <a:bgClr>
            <a:schemeClr val="lt1"/>
          </a:bgClr>
        </a:pattFill>
        <a:ln>
          <a:noFill/>
        </a:ln>
        <a:effectLst/>
      </c:spPr>
    </c:plotArea>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es-MX"/>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Pt>
            <c:idx val="16"/>
            <c:invertIfNegative val="0"/>
            <c:bubble3D val="0"/>
            <c:spPr>
              <a:solidFill>
                <a:srgbClr val="C00000"/>
              </a:solidFill>
              <a:ln>
                <a:noFill/>
              </a:ln>
              <a:effectLst/>
            </c:spPr>
            <c:extLst>
              <c:ext xmlns:c16="http://schemas.microsoft.com/office/drawing/2014/chart" uri="{C3380CC4-5D6E-409C-BE32-E72D297353CC}">
                <c16:uniqueId val="{00000001-6701-45D3-83F3-94833A838C2F}"/>
              </c:ext>
            </c:extLst>
          </c:dPt>
          <c:dPt>
            <c:idx val="17"/>
            <c:invertIfNegative val="0"/>
            <c:bubble3D val="0"/>
            <c:spPr>
              <a:solidFill>
                <a:srgbClr val="00B050"/>
              </a:solidFill>
              <a:ln>
                <a:noFill/>
              </a:ln>
              <a:effectLst/>
            </c:spPr>
            <c:extLst>
              <c:ext xmlns:c16="http://schemas.microsoft.com/office/drawing/2014/chart" uri="{C3380CC4-5D6E-409C-BE32-E72D297353CC}">
                <c16:uniqueId val="{00000003-6701-45D3-83F3-94833A838C2F}"/>
              </c:ext>
            </c:extLst>
          </c:dPt>
          <c:dLbls>
            <c:dLbl>
              <c:idx val="16"/>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701-45D3-83F3-94833A838C2F}"/>
                </c:ext>
              </c:extLst>
            </c:dLbl>
            <c:dLbl>
              <c:idx val="17"/>
              <c:layout>
                <c:manualLayout>
                  <c:x val="2.2099443240973259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6701-45D3-83F3-94833A838C2F}"/>
                </c:ext>
              </c:extLst>
            </c:dLbl>
            <c:spPr>
              <a:noFill/>
              <a:ln>
                <a:noFill/>
              </a:ln>
              <a:effectLst/>
            </c:spPr>
            <c:txPr>
              <a:bodyPr rot="-2400000" spcFirstLastPara="1" vertOverflow="ellipsis" wrap="square" lIns="38100" tIns="19050" rIns="38100" bIns="19050" anchor="ctr" anchorCtr="1">
                <a:spAutoFit/>
              </a:bodyPr>
              <a:lstStyle/>
              <a:p>
                <a:pPr>
                  <a:defRPr sz="900" b="1" i="0" u="none" strike="noStrike" kern="1200" baseline="0">
                    <a:solidFill>
                      <a:schemeClr val="dk1">
                        <a:lumMod val="75000"/>
                        <a:lumOff val="25000"/>
                      </a:schemeClr>
                    </a:solidFill>
                    <a:latin typeface="+mn-lt"/>
                    <a:ea typeface="+mn-ea"/>
                    <a:cs typeface="+mn-cs"/>
                  </a:defRPr>
                </a:pPr>
                <a:endParaRPr lang="es-MX"/>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Hoja1!$I$4:$I$38</c:f>
              <c:strCache>
                <c:ptCount val="35"/>
                <c:pt idx="0">
                  <c:v>Irlanda</c:v>
                </c:pt>
                <c:pt idx="1">
                  <c:v>Dinamarca</c:v>
                </c:pt>
                <c:pt idx="2">
                  <c:v>Latvia</c:v>
                </c:pt>
                <c:pt idx="3">
                  <c:v>Portugal</c:v>
                </c:pt>
                <c:pt idx="4">
                  <c:v>Lituania</c:v>
                </c:pt>
                <c:pt idx="5">
                  <c:v>Australia</c:v>
                </c:pt>
                <c:pt idx="6">
                  <c:v>Eslovenia</c:v>
                </c:pt>
                <c:pt idx="7">
                  <c:v>Islandia</c:v>
                </c:pt>
                <c:pt idx="8">
                  <c:v>Bélgica</c:v>
                </c:pt>
                <c:pt idx="9">
                  <c:v>Países Bajos</c:v>
                </c:pt>
                <c:pt idx="10">
                  <c:v>Hungría</c:v>
                </c:pt>
                <c:pt idx="11">
                  <c:v>Austria</c:v>
                </c:pt>
                <c:pt idx="12">
                  <c:v>Eslovaquia</c:v>
                </c:pt>
                <c:pt idx="13">
                  <c:v>España</c:v>
                </c:pt>
                <c:pt idx="14">
                  <c:v>Reino Unido</c:v>
                </c:pt>
                <c:pt idx="15">
                  <c:v>Rep. Checa</c:v>
                </c:pt>
                <c:pt idx="16">
                  <c:v>OCDE</c:v>
                </c:pt>
                <c:pt idx="17">
                  <c:v>México</c:v>
                </c:pt>
                <c:pt idx="18">
                  <c:v>Italia</c:v>
                </c:pt>
                <c:pt idx="19">
                  <c:v>Finlandia</c:v>
                </c:pt>
                <c:pt idx="20">
                  <c:v>Alemania</c:v>
                </c:pt>
                <c:pt idx="21">
                  <c:v>Estonia</c:v>
                </c:pt>
                <c:pt idx="22">
                  <c:v>Noruega</c:v>
                </c:pt>
                <c:pt idx="23">
                  <c:v>Suiza</c:v>
                </c:pt>
                <c:pt idx="24">
                  <c:v>Polonia</c:v>
                </c:pt>
                <c:pt idx="25">
                  <c:v>Suecia</c:v>
                </c:pt>
                <c:pt idx="26">
                  <c:v>Turquía</c:v>
                </c:pt>
                <c:pt idx="27">
                  <c:v>Nueva Zelanda</c:v>
                </c:pt>
                <c:pt idx="28">
                  <c:v>Francia</c:v>
                </c:pt>
                <c:pt idx="29">
                  <c:v>Chile</c:v>
                </c:pt>
                <c:pt idx="30">
                  <c:v>Canadá</c:v>
                </c:pt>
                <c:pt idx="31">
                  <c:v>Corea del Sur</c:v>
                </c:pt>
                <c:pt idx="32">
                  <c:v>EUA</c:v>
                </c:pt>
                <c:pt idx="33">
                  <c:v>Japón</c:v>
                </c:pt>
                <c:pt idx="34">
                  <c:v>Israel</c:v>
                </c:pt>
              </c:strCache>
            </c:strRef>
          </c:cat>
          <c:val>
            <c:numRef>
              <c:f>Hoja1!$J$4:$J$38</c:f>
              <c:numCache>
                <c:formatCode>General</c:formatCode>
                <c:ptCount val="35"/>
                <c:pt idx="0">
                  <c:v>24.44</c:v>
                </c:pt>
                <c:pt idx="1">
                  <c:v>22.06</c:v>
                </c:pt>
                <c:pt idx="2">
                  <c:v>17.28</c:v>
                </c:pt>
                <c:pt idx="3">
                  <c:v>16.440000000000001</c:v>
                </c:pt>
                <c:pt idx="4">
                  <c:v>16.11</c:v>
                </c:pt>
                <c:pt idx="5">
                  <c:v>15.94</c:v>
                </c:pt>
                <c:pt idx="6">
                  <c:v>15.88</c:v>
                </c:pt>
                <c:pt idx="7">
                  <c:v>15.8</c:v>
                </c:pt>
                <c:pt idx="8">
                  <c:v>14.83</c:v>
                </c:pt>
                <c:pt idx="9">
                  <c:v>14.36</c:v>
                </c:pt>
                <c:pt idx="10">
                  <c:v>14.14</c:v>
                </c:pt>
                <c:pt idx="11">
                  <c:v>14.09</c:v>
                </c:pt>
                <c:pt idx="12">
                  <c:v>13.51</c:v>
                </c:pt>
                <c:pt idx="13">
                  <c:v>13.39</c:v>
                </c:pt>
                <c:pt idx="14">
                  <c:v>12.87</c:v>
                </c:pt>
                <c:pt idx="15">
                  <c:v>12.66</c:v>
                </c:pt>
                <c:pt idx="16">
                  <c:v>12.64</c:v>
                </c:pt>
                <c:pt idx="17">
                  <c:v>12.62</c:v>
                </c:pt>
                <c:pt idx="18">
                  <c:v>12.35</c:v>
                </c:pt>
                <c:pt idx="19">
                  <c:v>12.03</c:v>
                </c:pt>
                <c:pt idx="20">
                  <c:v>11.71</c:v>
                </c:pt>
                <c:pt idx="21">
                  <c:v>11.48</c:v>
                </c:pt>
                <c:pt idx="22">
                  <c:v>11.14</c:v>
                </c:pt>
                <c:pt idx="23">
                  <c:v>10.57</c:v>
                </c:pt>
                <c:pt idx="24">
                  <c:v>10.49</c:v>
                </c:pt>
                <c:pt idx="25">
                  <c:v>10.16</c:v>
                </c:pt>
                <c:pt idx="26">
                  <c:v>9.9</c:v>
                </c:pt>
                <c:pt idx="27">
                  <c:v>9.1199999999999992</c:v>
                </c:pt>
                <c:pt idx="28">
                  <c:v>9.0500000000000007</c:v>
                </c:pt>
                <c:pt idx="29">
                  <c:v>8.69</c:v>
                </c:pt>
                <c:pt idx="30">
                  <c:v>7.94</c:v>
                </c:pt>
                <c:pt idx="31">
                  <c:v>7.65</c:v>
                </c:pt>
                <c:pt idx="32">
                  <c:v>7.55</c:v>
                </c:pt>
                <c:pt idx="33">
                  <c:v>6.84</c:v>
                </c:pt>
                <c:pt idx="34">
                  <c:v>6.76</c:v>
                </c:pt>
              </c:numCache>
            </c:numRef>
          </c:val>
          <c:extLst>
            <c:ext xmlns:c16="http://schemas.microsoft.com/office/drawing/2014/chart" uri="{C3380CC4-5D6E-409C-BE32-E72D297353CC}">
              <c16:uniqueId val="{00000004-6701-45D3-83F3-94833A838C2F}"/>
            </c:ext>
          </c:extLst>
        </c:ser>
        <c:dLbls>
          <c:showLegendKey val="0"/>
          <c:showVal val="0"/>
          <c:showCatName val="0"/>
          <c:showSerName val="0"/>
          <c:showPercent val="0"/>
          <c:showBubbleSize val="0"/>
        </c:dLbls>
        <c:gapWidth val="60"/>
        <c:overlap val="100"/>
        <c:axId val="200551424"/>
        <c:axId val="200557312"/>
      </c:barChart>
      <c:catAx>
        <c:axId val="200551424"/>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800" b="0" i="0" u="none" strike="noStrike" kern="1200" cap="none" spc="0" normalizeH="0" baseline="0">
                <a:solidFill>
                  <a:schemeClr val="dk1">
                    <a:lumMod val="65000"/>
                    <a:lumOff val="35000"/>
                  </a:schemeClr>
                </a:solidFill>
                <a:latin typeface="+mn-lt"/>
                <a:ea typeface="+mn-ea"/>
                <a:cs typeface="+mn-cs"/>
              </a:defRPr>
            </a:pPr>
            <a:endParaRPr lang="es-MX"/>
          </a:p>
        </c:txPr>
        <c:crossAx val="200557312"/>
        <c:crosses val="autoZero"/>
        <c:auto val="1"/>
        <c:lblAlgn val="ctr"/>
        <c:lblOffset val="100"/>
        <c:noMultiLvlLbl val="0"/>
      </c:catAx>
      <c:valAx>
        <c:axId val="200557312"/>
        <c:scaling>
          <c:orientation val="minMax"/>
        </c:scaling>
        <c:delete val="0"/>
        <c:axPos val="l"/>
        <c:majorGridlines>
          <c:spPr>
            <a:ln w="9525" cap="flat" cmpd="sng" algn="ctr">
              <a:solidFill>
                <a:schemeClr val="dk1">
                  <a:lumMod val="15000"/>
                  <a:lumOff val="85000"/>
                </a:schemeClr>
              </a:solidFill>
              <a:round/>
            </a:ln>
            <a:effectLst/>
          </c:spPr>
        </c:majorGridlines>
        <c:title>
          <c:tx>
            <c:rich>
              <a:bodyPr rot="-5400000" spcFirstLastPara="1" vertOverflow="ellipsis" vert="horz" wrap="square" anchor="ctr" anchorCtr="1"/>
              <a:lstStyle/>
              <a:p>
                <a:pPr>
                  <a:defRPr sz="800" b="1" i="0" u="none" strike="noStrike" kern="1200" baseline="0">
                    <a:solidFill>
                      <a:schemeClr val="dk1">
                        <a:lumMod val="65000"/>
                        <a:lumOff val="35000"/>
                      </a:schemeClr>
                    </a:solidFill>
                    <a:latin typeface="+mn-lt"/>
                    <a:ea typeface="+mn-ea"/>
                    <a:cs typeface="+mn-cs"/>
                  </a:defRPr>
                </a:pPr>
                <a:r>
                  <a:rPr lang="en-US" sz="800"/>
                  <a:t>Numero de médicos egresados por 100,000 habitantes</a:t>
                </a:r>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MX"/>
          </a:p>
        </c:txPr>
        <c:crossAx val="200551424"/>
        <c:crosses val="autoZero"/>
        <c:crossBetween val="between"/>
      </c:valAx>
      <c:spPr>
        <a:pattFill prst="ltDnDiag">
          <a:fgClr>
            <a:schemeClr val="dk1">
              <a:lumMod val="15000"/>
              <a:lumOff val="85000"/>
            </a:schemeClr>
          </a:fgClr>
          <a:bgClr>
            <a:schemeClr val="lt1"/>
          </a:bgClr>
        </a:pattFill>
        <a:ln>
          <a:noFill/>
        </a:ln>
        <a:effectLst/>
      </c:spPr>
    </c:plotArea>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es-MX"/>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v>Postulantes</c:v>
          </c:tx>
          <c:spPr>
            <a:ln w="63500" cap="rnd">
              <a:solidFill>
                <a:schemeClr val="accent1"/>
              </a:solidFill>
              <a:round/>
            </a:ln>
            <a:effectLst/>
          </c:spPr>
          <c:marker>
            <c:symbol val="circle"/>
            <c:size val="6"/>
            <c:spPr>
              <a:solidFill>
                <a:schemeClr val="lt1"/>
              </a:solidFill>
              <a:ln w="15875">
                <a:solidFill>
                  <a:schemeClr val="accent1"/>
                </a:solidFill>
                <a:round/>
              </a:ln>
              <a:effectLst/>
            </c:spPr>
          </c:marker>
          <c:cat>
            <c:numRef>
              <c:f>Hoja2!$C$152:$C$166</c:f>
              <c:numCache>
                <c:formatCode>General</c:formatCode>
                <c:ptCount val="15"/>
                <c:pt idx="0">
                  <c:v>2010</c:v>
                </c:pt>
                <c:pt idx="1">
                  <c:v>2011</c:v>
                </c:pt>
                <c:pt idx="2">
                  <c:v>2012</c:v>
                </c:pt>
                <c:pt idx="3">
                  <c:v>2013</c:v>
                </c:pt>
                <c:pt idx="4">
                  <c:v>2014</c:v>
                </c:pt>
                <c:pt idx="5">
                  <c:v>2015</c:v>
                </c:pt>
                <c:pt idx="6">
                  <c:v>2016</c:v>
                </c:pt>
                <c:pt idx="7">
                  <c:v>2017</c:v>
                </c:pt>
                <c:pt idx="8">
                  <c:v>2018</c:v>
                </c:pt>
                <c:pt idx="9">
                  <c:v>2019</c:v>
                </c:pt>
                <c:pt idx="10">
                  <c:v>2020</c:v>
                </c:pt>
                <c:pt idx="11">
                  <c:v>2021</c:v>
                </c:pt>
                <c:pt idx="12">
                  <c:v>2022</c:v>
                </c:pt>
                <c:pt idx="13">
                  <c:v>2023</c:v>
                </c:pt>
                <c:pt idx="14">
                  <c:v>2024</c:v>
                </c:pt>
              </c:numCache>
            </c:numRef>
          </c:cat>
          <c:val>
            <c:numRef>
              <c:f>Hoja2!$D$152:$D$166</c:f>
              <c:numCache>
                <c:formatCode>_(* #,##0.00_);_(* \(#,##0.00\);_(* "-"??_);_(@_)</c:formatCode>
                <c:ptCount val="15"/>
                <c:pt idx="0">
                  <c:v>22027</c:v>
                </c:pt>
                <c:pt idx="1">
                  <c:v>23262</c:v>
                </c:pt>
                <c:pt idx="2">
                  <c:v>25364</c:v>
                </c:pt>
                <c:pt idx="3">
                  <c:v>24515</c:v>
                </c:pt>
                <c:pt idx="4">
                  <c:v>26056</c:v>
                </c:pt>
                <c:pt idx="5">
                  <c:v>33697</c:v>
                </c:pt>
                <c:pt idx="6">
                  <c:v>35107</c:v>
                </c:pt>
                <c:pt idx="7">
                  <c:v>37147</c:v>
                </c:pt>
                <c:pt idx="8">
                  <c:v>40081</c:v>
                </c:pt>
              </c:numCache>
            </c:numRef>
          </c:val>
          <c:smooth val="0"/>
          <c:extLst>
            <c:ext xmlns:c16="http://schemas.microsoft.com/office/drawing/2014/chart" uri="{C3380CC4-5D6E-409C-BE32-E72D297353CC}">
              <c16:uniqueId val="{00000000-3499-4858-934D-DE7A9750A599}"/>
            </c:ext>
          </c:extLst>
        </c:ser>
        <c:ser>
          <c:idx val="1"/>
          <c:order val="1"/>
          <c:tx>
            <c:v>Pronóstico</c:v>
          </c:tx>
          <c:spPr>
            <a:ln w="44450" cap="rnd">
              <a:solidFill>
                <a:schemeClr val="bg2">
                  <a:lumMod val="50000"/>
                </a:schemeClr>
              </a:solidFill>
              <a:round/>
            </a:ln>
            <a:effectLst/>
          </c:spPr>
          <c:marker>
            <c:symbol val="circle"/>
            <c:size val="6"/>
            <c:spPr>
              <a:solidFill>
                <a:schemeClr val="lt1"/>
              </a:solidFill>
              <a:ln w="15875">
                <a:solidFill>
                  <a:schemeClr val="accent2"/>
                </a:solidFill>
                <a:round/>
              </a:ln>
              <a:effectLst/>
            </c:spPr>
          </c:marker>
          <c:cat>
            <c:numRef>
              <c:f>Hoja2!$C$152:$C$166</c:f>
              <c:numCache>
                <c:formatCode>General</c:formatCode>
                <c:ptCount val="15"/>
                <c:pt idx="0">
                  <c:v>2010</c:v>
                </c:pt>
                <c:pt idx="1">
                  <c:v>2011</c:v>
                </c:pt>
                <c:pt idx="2">
                  <c:v>2012</c:v>
                </c:pt>
                <c:pt idx="3">
                  <c:v>2013</c:v>
                </c:pt>
                <c:pt idx="4">
                  <c:v>2014</c:v>
                </c:pt>
                <c:pt idx="5">
                  <c:v>2015</c:v>
                </c:pt>
                <c:pt idx="6">
                  <c:v>2016</c:v>
                </c:pt>
                <c:pt idx="7">
                  <c:v>2017</c:v>
                </c:pt>
                <c:pt idx="8">
                  <c:v>2018</c:v>
                </c:pt>
                <c:pt idx="9">
                  <c:v>2019</c:v>
                </c:pt>
                <c:pt idx="10">
                  <c:v>2020</c:v>
                </c:pt>
                <c:pt idx="11">
                  <c:v>2021</c:v>
                </c:pt>
                <c:pt idx="12">
                  <c:v>2022</c:v>
                </c:pt>
                <c:pt idx="13">
                  <c:v>2023</c:v>
                </c:pt>
                <c:pt idx="14">
                  <c:v>2024</c:v>
                </c:pt>
              </c:numCache>
            </c:numRef>
          </c:cat>
          <c:val>
            <c:numRef>
              <c:f>Hoja2!$E$152:$E$166</c:f>
              <c:numCache>
                <c:formatCode>General</c:formatCode>
                <c:ptCount val="15"/>
                <c:pt idx="8" formatCode="_(* #,##0.00_);_(* \(#,##0.00\);_(* &quot;-&quot;??_);_(@_)">
                  <c:v>40081</c:v>
                </c:pt>
                <c:pt idx="9" formatCode="_(* #,##0.00_);_(* \(#,##0.00\);_(* &quot;-&quot;??_);_(@_)">
                  <c:v>41573.516275917056</c:v>
                </c:pt>
                <c:pt idx="10" formatCode="_(* #,##0.00_);_(* \(#,##0.00\);_(* &quot;-&quot;??_);_(@_)">
                  <c:v>43947.782456867761</c:v>
                </c:pt>
                <c:pt idx="11" formatCode="_(* #,##0.00_);_(* \(#,##0.00\);_(* &quot;-&quot;??_);_(@_)">
                  <c:v>46323.530530232936</c:v>
                </c:pt>
                <c:pt idx="12" formatCode="_(* #,##0.00_);_(* \(#,##0.00\);_(* &quot;-&quot;??_);_(@_)">
                  <c:v>48699.228918419758</c:v>
                </c:pt>
                <c:pt idx="13" formatCode="_(* #,##0.00_);_(* \(#,##0.00\);_(* &quot;-&quot;??_);_(@_)">
                  <c:v>51074.928972460948</c:v>
                </c:pt>
                <c:pt idx="14" formatCode="_(* #,##0.00_);_(* \(#,##0.00\);_(* &quot;-&quot;??_);_(@_)">
                  <c:v>53450.62897064905</c:v>
                </c:pt>
              </c:numCache>
            </c:numRef>
          </c:val>
          <c:smooth val="0"/>
          <c:extLst>
            <c:ext xmlns:c16="http://schemas.microsoft.com/office/drawing/2014/chart" uri="{C3380CC4-5D6E-409C-BE32-E72D297353CC}">
              <c16:uniqueId val="{00000001-3499-4858-934D-DE7A9750A599}"/>
            </c:ext>
          </c:extLst>
        </c:ser>
        <c:ser>
          <c:idx val="2"/>
          <c:order val="2"/>
          <c:tx>
            <c:v>Lim.Inf</c:v>
          </c:tx>
          <c:spPr>
            <a:ln w="22225" cap="rnd">
              <a:solidFill>
                <a:schemeClr val="tx1"/>
              </a:solidFill>
              <a:prstDash val="dash"/>
              <a:round/>
            </a:ln>
            <a:effectLst/>
          </c:spPr>
          <c:marker>
            <c:symbol val="none"/>
          </c:marker>
          <c:cat>
            <c:numRef>
              <c:f>Hoja2!$C$152:$C$166</c:f>
              <c:numCache>
                <c:formatCode>General</c:formatCode>
                <c:ptCount val="15"/>
                <c:pt idx="0">
                  <c:v>2010</c:v>
                </c:pt>
                <c:pt idx="1">
                  <c:v>2011</c:v>
                </c:pt>
                <c:pt idx="2">
                  <c:v>2012</c:v>
                </c:pt>
                <c:pt idx="3">
                  <c:v>2013</c:v>
                </c:pt>
                <c:pt idx="4">
                  <c:v>2014</c:v>
                </c:pt>
                <c:pt idx="5">
                  <c:v>2015</c:v>
                </c:pt>
                <c:pt idx="6">
                  <c:v>2016</c:v>
                </c:pt>
                <c:pt idx="7">
                  <c:v>2017</c:v>
                </c:pt>
                <c:pt idx="8">
                  <c:v>2018</c:v>
                </c:pt>
                <c:pt idx="9">
                  <c:v>2019</c:v>
                </c:pt>
                <c:pt idx="10">
                  <c:v>2020</c:v>
                </c:pt>
                <c:pt idx="11">
                  <c:v>2021</c:v>
                </c:pt>
                <c:pt idx="12">
                  <c:v>2022</c:v>
                </c:pt>
                <c:pt idx="13">
                  <c:v>2023</c:v>
                </c:pt>
                <c:pt idx="14">
                  <c:v>2024</c:v>
                </c:pt>
              </c:numCache>
            </c:numRef>
          </c:cat>
          <c:val>
            <c:numRef>
              <c:f>Hoja2!$F$152:$F$166</c:f>
              <c:numCache>
                <c:formatCode>General</c:formatCode>
                <c:ptCount val="15"/>
                <c:pt idx="8" formatCode="_(* #,##0.00_);_(* \(#,##0.00\);_(* &quot;-&quot;??_);_(@_)">
                  <c:v>40081</c:v>
                </c:pt>
                <c:pt idx="9" formatCode="_(* #,##0.00_);_(* \(#,##0.00\);_(* &quot;-&quot;??_);_(@_)">
                  <c:v>38918.65093264162</c:v>
                </c:pt>
                <c:pt idx="10" formatCode="_(* #,##0.00_);_(* \(#,##0.00\);_(* &quot;-&quot;??_);_(@_)">
                  <c:v>41291.4253127142</c:v>
                </c:pt>
                <c:pt idx="11" formatCode="_(* #,##0.00_);_(* \(#,##0.00\);_(* &quot;-&quot;??_);_(@_)">
                  <c:v>43667.171709557937</c:v>
                </c:pt>
                <c:pt idx="12" formatCode="_(* #,##0.00_);_(* \(#,##0.00\);_(* &quot;-&quot;??_);_(@_)">
                  <c:v>46042.870095860111</c:v>
                </c:pt>
                <c:pt idx="13" formatCode="_(* #,##0.00_);_(* \(#,##0.00\);_(* &quot;-&quot;??_);_(@_)">
                  <c:v>48418.570149899177</c:v>
                </c:pt>
                <c:pt idx="14" formatCode="_(* #,##0.00_);_(* \(#,##0.00\);_(* &quot;-&quot;??_);_(@_)">
                  <c:v>50794.270148087278</c:v>
                </c:pt>
              </c:numCache>
            </c:numRef>
          </c:val>
          <c:smooth val="0"/>
          <c:extLst>
            <c:ext xmlns:c16="http://schemas.microsoft.com/office/drawing/2014/chart" uri="{C3380CC4-5D6E-409C-BE32-E72D297353CC}">
              <c16:uniqueId val="{00000002-3499-4858-934D-DE7A9750A599}"/>
            </c:ext>
          </c:extLst>
        </c:ser>
        <c:ser>
          <c:idx val="3"/>
          <c:order val="3"/>
          <c:tx>
            <c:v>Lim.Sup.</c:v>
          </c:tx>
          <c:spPr>
            <a:ln w="22225" cap="rnd">
              <a:solidFill>
                <a:schemeClr val="tx1"/>
              </a:solidFill>
              <a:prstDash val="dash"/>
              <a:round/>
            </a:ln>
            <a:effectLst/>
          </c:spPr>
          <c:marker>
            <c:symbol val="none"/>
          </c:marker>
          <c:cat>
            <c:numRef>
              <c:f>Hoja2!$C$152:$C$166</c:f>
              <c:numCache>
                <c:formatCode>General</c:formatCode>
                <c:ptCount val="15"/>
                <c:pt idx="0">
                  <c:v>2010</c:v>
                </c:pt>
                <c:pt idx="1">
                  <c:v>2011</c:v>
                </c:pt>
                <c:pt idx="2">
                  <c:v>2012</c:v>
                </c:pt>
                <c:pt idx="3">
                  <c:v>2013</c:v>
                </c:pt>
                <c:pt idx="4">
                  <c:v>2014</c:v>
                </c:pt>
                <c:pt idx="5">
                  <c:v>2015</c:v>
                </c:pt>
                <c:pt idx="6">
                  <c:v>2016</c:v>
                </c:pt>
                <c:pt idx="7">
                  <c:v>2017</c:v>
                </c:pt>
                <c:pt idx="8">
                  <c:v>2018</c:v>
                </c:pt>
                <c:pt idx="9">
                  <c:v>2019</c:v>
                </c:pt>
                <c:pt idx="10">
                  <c:v>2020</c:v>
                </c:pt>
                <c:pt idx="11">
                  <c:v>2021</c:v>
                </c:pt>
                <c:pt idx="12">
                  <c:v>2022</c:v>
                </c:pt>
                <c:pt idx="13">
                  <c:v>2023</c:v>
                </c:pt>
                <c:pt idx="14">
                  <c:v>2024</c:v>
                </c:pt>
              </c:numCache>
            </c:numRef>
          </c:cat>
          <c:val>
            <c:numRef>
              <c:f>Hoja2!$G$152:$G$166</c:f>
              <c:numCache>
                <c:formatCode>General</c:formatCode>
                <c:ptCount val="15"/>
                <c:pt idx="8" formatCode="_(* #,##0.00_);_(* \(#,##0.00\);_(* &quot;-&quot;??_);_(@_)">
                  <c:v>40081</c:v>
                </c:pt>
                <c:pt idx="9" formatCode="_(* #,##0.00_);_(* \(#,##0.00\);_(* &quot;-&quot;??_);_(@_)">
                  <c:v>44228.381619192493</c:v>
                </c:pt>
                <c:pt idx="10" formatCode="_(* #,##0.00_);_(* \(#,##0.00\);_(* &quot;-&quot;??_);_(@_)">
                  <c:v>46604.139601021328</c:v>
                </c:pt>
                <c:pt idx="11" formatCode="_(* #,##0.00_);_(* \(#,##0.00\);_(* &quot;-&quot;??_);_(@_)">
                  <c:v>48979.889350907943</c:v>
                </c:pt>
                <c:pt idx="12" formatCode="_(* #,##0.00_);_(* \(#,##0.00\);_(* &quot;-&quot;??_);_(@_)">
                  <c:v>51355.587740979405</c:v>
                </c:pt>
                <c:pt idx="13" formatCode="_(* #,##0.00_);_(* \(#,##0.00\);_(* &quot;-&quot;??_);_(@_)">
                  <c:v>53731.287795022712</c:v>
                </c:pt>
                <c:pt idx="14" formatCode="_(* #,##0.00_);_(* \(#,##0.00\);_(* &quot;-&quot;??_);_(@_)">
                  <c:v>56106.987793210821</c:v>
                </c:pt>
              </c:numCache>
            </c:numRef>
          </c:val>
          <c:smooth val="0"/>
          <c:extLst>
            <c:ext xmlns:c16="http://schemas.microsoft.com/office/drawing/2014/chart" uri="{C3380CC4-5D6E-409C-BE32-E72D297353CC}">
              <c16:uniqueId val="{00000003-3499-4858-934D-DE7A9750A599}"/>
            </c:ext>
          </c:extLst>
        </c:ser>
        <c:ser>
          <c:idx val="4"/>
          <c:order val="4"/>
          <c:tx>
            <c:v>Tendencia</c:v>
          </c:tx>
          <c:spPr>
            <a:ln w="38100" cap="rnd">
              <a:solidFill>
                <a:srgbClr val="C00000"/>
              </a:solidFill>
              <a:round/>
            </a:ln>
            <a:effectLst/>
          </c:spPr>
          <c:marker>
            <c:symbol val="none"/>
          </c:marker>
          <c:cat>
            <c:numRef>
              <c:f>Hoja2!$C$152:$C$166</c:f>
              <c:numCache>
                <c:formatCode>General</c:formatCode>
                <c:ptCount val="15"/>
                <c:pt idx="0">
                  <c:v>2010</c:v>
                </c:pt>
                <c:pt idx="1">
                  <c:v>2011</c:v>
                </c:pt>
                <c:pt idx="2">
                  <c:v>2012</c:v>
                </c:pt>
                <c:pt idx="3">
                  <c:v>2013</c:v>
                </c:pt>
                <c:pt idx="4">
                  <c:v>2014</c:v>
                </c:pt>
                <c:pt idx="5">
                  <c:v>2015</c:v>
                </c:pt>
                <c:pt idx="6">
                  <c:v>2016</c:v>
                </c:pt>
                <c:pt idx="7">
                  <c:v>2017</c:v>
                </c:pt>
                <c:pt idx="8">
                  <c:v>2018</c:v>
                </c:pt>
                <c:pt idx="9">
                  <c:v>2019</c:v>
                </c:pt>
                <c:pt idx="10">
                  <c:v>2020</c:v>
                </c:pt>
                <c:pt idx="11">
                  <c:v>2021</c:v>
                </c:pt>
                <c:pt idx="12">
                  <c:v>2022</c:v>
                </c:pt>
                <c:pt idx="13">
                  <c:v>2023</c:v>
                </c:pt>
                <c:pt idx="14">
                  <c:v>2024</c:v>
                </c:pt>
              </c:numCache>
            </c:numRef>
          </c:cat>
          <c:val>
            <c:numRef>
              <c:f>Hoja2!$H$152:$H$166</c:f>
              <c:numCache>
                <c:formatCode>_(* #,##0.00_);_(* \(#,##0.00\);_(* "-"??_);_(@_)</c:formatCode>
                <c:ptCount val="15"/>
                <c:pt idx="0">
                  <c:v>21468.406474040399</c:v>
                </c:pt>
                <c:pt idx="1">
                  <c:v>22948.553602514599</c:v>
                </c:pt>
                <c:pt idx="2">
                  <c:v>24521.799651981899</c:v>
                </c:pt>
                <c:pt idx="3">
                  <c:v>26333.484609683401</c:v>
                </c:pt>
                <c:pt idx="4">
                  <c:v>28669.315187529501</c:v>
                </c:pt>
                <c:pt idx="5">
                  <c:v>31511.917329150099</c:v>
                </c:pt>
                <c:pt idx="6">
                  <c:v>34408.364446920401</c:v>
                </c:pt>
                <c:pt idx="7">
                  <c:v>37269.910398356798</c:v>
                </c:pt>
                <c:pt idx="8">
                  <c:v>40124.248299822801</c:v>
                </c:pt>
              </c:numCache>
            </c:numRef>
          </c:val>
          <c:smooth val="0"/>
          <c:extLst>
            <c:ext xmlns:c16="http://schemas.microsoft.com/office/drawing/2014/chart" uri="{C3380CC4-5D6E-409C-BE32-E72D297353CC}">
              <c16:uniqueId val="{00000004-3499-4858-934D-DE7A9750A599}"/>
            </c:ext>
          </c:extLst>
        </c:ser>
        <c:dLbls>
          <c:showLegendKey val="0"/>
          <c:showVal val="0"/>
          <c:showCatName val="0"/>
          <c:showSerName val="0"/>
          <c:showPercent val="0"/>
          <c:showBubbleSize val="0"/>
        </c:dLbls>
        <c:marker val="1"/>
        <c:smooth val="0"/>
        <c:axId val="200600960"/>
        <c:axId val="200680576"/>
      </c:lineChart>
      <c:catAx>
        <c:axId val="200600960"/>
        <c:scaling>
          <c:orientation val="minMax"/>
        </c:scaling>
        <c:delete val="0"/>
        <c:axPos val="b"/>
        <c:majorGridlines>
          <c:spPr>
            <a:ln w="9525" cap="flat" cmpd="sng" algn="ctr">
              <a:solidFill>
                <a:schemeClr val="dk1">
                  <a:lumMod val="15000"/>
                  <a:lumOff val="85000"/>
                  <a:alpha val="54000"/>
                </a:schemeClr>
              </a:solidFill>
              <a:round/>
            </a:ln>
            <a:effectLst/>
          </c:spPr>
        </c:majorGridlines>
        <c:minorGridlines>
          <c:spPr>
            <a:ln w="9525" cap="flat" cmpd="sng" algn="ctr">
              <a:solidFill>
                <a:schemeClr val="dk1">
                  <a:lumMod val="15000"/>
                  <a:lumOff val="85000"/>
                  <a:alpha val="51000"/>
                </a:schemeClr>
              </a:solidFill>
              <a:round/>
            </a:ln>
            <a:effectLst/>
          </c:spPr>
        </c:min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es-MX"/>
          </a:p>
        </c:txPr>
        <c:crossAx val="200680576"/>
        <c:crosses val="autoZero"/>
        <c:auto val="1"/>
        <c:lblAlgn val="ctr"/>
        <c:lblOffset val="100"/>
        <c:noMultiLvlLbl val="0"/>
      </c:catAx>
      <c:valAx>
        <c:axId val="200680576"/>
        <c:scaling>
          <c:orientation val="minMax"/>
          <c:min val="15000"/>
        </c:scaling>
        <c:delete val="0"/>
        <c:axPos val="l"/>
        <c:majorGridlines>
          <c:spPr>
            <a:ln w="9525" cap="flat" cmpd="sng" algn="ctr">
              <a:solidFill>
                <a:schemeClr val="dk1">
                  <a:lumMod val="15000"/>
                  <a:lumOff val="85000"/>
                  <a:alpha val="54000"/>
                </a:schemeClr>
              </a:solidFill>
              <a:round/>
            </a:ln>
            <a:effectLst/>
          </c:spPr>
        </c:majorGridlines>
        <c:numFmt formatCode="_(* #,##0_);_(* \(#,##0\);_(* &quot;-&quot;_);_(@_)"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MX"/>
          </a:p>
        </c:txPr>
        <c:crossAx val="200600960"/>
        <c:crosses val="autoZero"/>
        <c:crossBetween val="between"/>
      </c:valAx>
      <c:spPr>
        <a:pattFill prst="ltDnDiag">
          <a:fgClr>
            <a:schemeClr val="dk1">
              <a:lumMod val="15000"/>
              <a:lumOff val="85000"/>
            </a:schemeClr>
          </a:fgClr>
          <a:bgClr>
            <a:schemeClr val="lt1"/>
          </a:bgClr>
        </a:patt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MX"/>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es-MX"/>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476159230096238"/>
          <c:y val="5.0925925925925923E-2"/>
          <c:w val="0.8133904199475066"/>
          <c:h val="0.75834135316418783"/>
        </c:manualLayout>
      </c:layout>
      <c:lineChart>
        <c:grouping val="standard"/>
        <c:varyColors val="0"/>
        <c:ser>
          <c:idx val="0"/>
          <c:order val="0"/>
          <c:tx>
            <c:v>Primer Ingreso</c:v>
          </c:tx>
          <c:spPr>
            <a:ln w="63500" cap="rnd">
              <a:solidFill>
                <a:schemeClr val="accent1"/>
              </a:solidFill>
              <a:round/>
            </a:ln>
            <a:effectLst/>
          </c:spPr>
          <c:marker>
            <c:symbol val="circle"/>
            <c:size val="8"/>
            <c:spPr>
              <a:solidFill>
                <a:schemeClr val="lt1"/>
              </a:solidFill>
              <a:ln w="15875">
                <a:solidFill>
                  <a:schemeClr val="accent1"/>
                </a:solidFill>
                <a:round/>
              </a:ln>
              <a:effectLst/>
            </c:spPr>
          </c:marker>
          <c:cat>
            <c:numRef>
              <c:f>Hoja1!$A$174:$A$180</c:f>
              <c:numCache>
                <c:formatCode>General</c:formatCode>
                <c:ptCount val="7"/>
                <c:pt idx="0">
                  <c:v>2012</c:v>
                </c:pt>
                <c:pt idx="1">
                  <c:v>2013</c:v>
                </c:pt>
                <c:pt idx="2">
                  <c:v>2014</c:v>
                </c:pt>
                <c:pt idx="3">
                  <c:v>2015</c:v>
                </c:pt>
                <c:pt idx="4">
                  <c:v>2016</c:v>
                </c:pt>
                <c:pt idx="5">
                  <c:v>2017</c:v>
                </c:pt>
                <c:pt idx="6">
                  <c:v>2018</c:v>
                </c:pt>
              </c:numCache>
            </c:numRef>
          </c:cat>
          <c:val>
            <c:numRef>
              <c:f>Hoja1!$B$174:$B$180</c:f>
              <c:numCache>
                <c:formatCode>General</c:formatCode>
                <c:ptCount val="7"/>
                <c:pt idx="0">
                  <c:v>10</c:v>
                </c:pt>
                <c:pt idx="1">
                  <c:v>8</c:v>
                </c:pt>
                <c:pt idx="2">
                  <c:v>7</c:v>
                </c:pt>
                <c:pt idx="3">
                  <c:v>9</c:v>
                </c:pt>
                <c:pt idx="4">
                  <c:v>10</c:v>
                </c:pt>
                <c:pt idx="5">
                  <c:v>6</c:v>
                </c:pt>
                <c:pt idx="6">
                  <c:v>10</c:v>
                </c:pt>
              </c:numCache>
            </c:numRef>
          </c:val>
          <c:smooth val="0"/>
          <c:extLst>
            <c:ext xmlns:c16="http://schemas.microsoft.com/office/drawing/2014/chart" uri="{C3380CC4-5D6E-409C-BE32-E72D297353CC}">
              <c16:uniqueId val="{00000000-1E9E-4115-92A2-63FB4882CFE6}"/>
            </c:ext>
          </c:extLst>
        </c:ser>
        <c:ser>
          <c:idx val="1"/>
          <c:order val="1"/>
          <c:tx>
            <c:v>Tendencia</c:v>
          </c:tx>
          <c:spPr>
            <a:ln w="38100" cap="rnd">
              <a:solidFill>
                <a:srgbClr val="C00000"/>
              </a:solidFill>
              <a:round/>
            </a:ln>
            <a:effectLst/>
          </c:spPr>
          <c:marker>
            <c:symbol val="none"/>
          </c:marker>
          <c:cat>
            <c:numRef>
              <c:f>Hoja1!$A$174:$A$180</c:f>
              <c:numCache>
                <c:formatCode>General</c:formatCode>
                <c:ptCount val="7"/>
                <c:pt idx="0">
                  <c:v>2012</c:v>
                </c:pt>
                <c:pt idx="1">
                  <c:v>2013</c:v>
                </c:pt>
                <c:pt idx="2">
                  <c:v>2014</c:v>
                </c:pt>
                <c:pt idx="3">
                  <c:v>2015</c:v>
                </c:pt>
                <c:pt idx="4">
                  <c:v>2016</c:v>
                </c:pt>
                <c:pt idx="5">
                  <c:v>2017</c:v>
                </c:pt>
                <c:pt idx="6">
                  <c:v>2018</c:v>
                </c:pt>
              </c:numCache>
            </c:numRef>
          </c:cat>
          <c:val>
            <c:numRef>
              <c:f>Hoja1!$C$174:$C$180</c:f>
              <c:numCache>
                <c:formatCode>General</c:formatCode>
                <c:ptCount val="7"/>
                <c:pt idx="0">
                  <c:v>9.0101256804946903</c:v>
                </c:pt>
                <c:pt idx="1">
                  <c:v>8.6085342412888508</c:v>
                </c:pt>
                <c:pt idx="2">
                  <c:v>8.3719218553338894</c:v>
                </c:pt>
                <c:pt idx="3">
                  <c:v>8.3638452023325698</c:v>
                </c:pt>
                <c:pt idx="4">
                  <c:v>8.4192073194319708</c:v>
                </c:pt>
                <c:pt idx="5">
                  <c:v>8.4789370433904203</c:v>
                </c:pt>
                <c:pt idx="6">
                  <c:v>8.7474286577276104</c:v>
                </c:pt>
              </c:numCache>
            </c:numRef>
          </c:val>
          <c:smooth val="0"/>
          <c:extLst>
            <c:ext xmlns:c16="http://schemas.microsoft.com/office/drawing/2014/chart" uri="{C3380CC4-5D6E-409C-BE32-E72D297353CC}">
              <c16:uniqueId val="{00000001-1E9E-4115-92A2-63FB4882CFE6}"/>
            </c:ext>
          </c:extLst>
        </c:ser>
        <c:dLbls>
          <c:showLegendKey val="0"/>
          <c:showVal val="0"/>
          <c:showCatName val="0"/>
          <c:showSerName val="0"/>
          <c:showPercent val="0"/>
          <c:showBubbleSize val="0"/>
        </c:dLbls>
        <c:marker val="1"/>
        <c:smooth val="0"/>
        <c:axId val="236348976"/>
        <c:axId val="236349536"/>
      </c:lineChart>
      <c:catAx>
        <c:axId val="236348976"/>
        <c:scaling>
          <c:orientation val="minMax"/>
        </c:scaling>
        <c:delete val="0"/>
        <c:axPos val="b"/>
        <c:majorGridlines>
          <c:spPr>
            <a:ln w="9525" cap="flat" cmpd="sng" algn="ctr">
              <a:solidFill>
                <a:schemeClr val="dk1">
                  <a:lumMod val="15000"/>
                  <a:lumOff val="85000"/>
                  <a:alpha val="54000"/>
                </a:schemeClr>
              </a:solidFill>
              <a:round/>
            </a:ln>
            <a:effectLst/>
          </c:spPr>
        </c:majorGridlines>
        <c:minorGridlines>
          <c:spPr>
            <a:ln w="9525" cap="flat" cmpd="sng" algn="ctr">
              <a:solidFill>
                <a:schemeClr val="dk1">
                  <a:lumMod val="15000"/>
                  <a:lumOff val="85000"/>
                  <a:alpha val="51000"/>
                </a:schemeClr>
              </a:solidFill>
              <a:round/>
            </a:ln>
            <a:effectLst/>
          </c:spPr>
        </c:min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es-MX"/>
          </a:p>
        </c:txPr>
        <c:crossAx val="236349536"/>
        <c:crosses val="autoZero"/>
        <c:auto val="1"/>
        <c:lblAlgn val="ctr"/>
        <c:lblOffset val="100"/>
        <c:noMultiLvlLbl val="0"/>
      </c:catAx>
      <c:valAx>
        <c:axId val="236349536"/>
        <c:scaling>
          <c:orientation val="minMax"/>
          <c:max val="15"/>
          <c:min val="0"/>
        </c:scaling>
        <c:delete val="0"/>
        <c:axPos val="l"/>
        <c:majorGridlines>
          <c:spPr>
            <a:ln w="9525" cap="flat" cmpd="sng" algn="ctr">
              <a:solidFill>
                <a:schemeClr val="dk1">
                  <a:lumMod val="15000"/>
                  <a:lumOff val="85000"/>
                  <a:alpha val="54000"/>
                </a:schemeClr>
              </a:solidFill>
              <a:round/>
            </a:ln>
            <a:effectLst/>
          </c:spPr>
        </c:majorGridlines>
        <c:title>
          <c:tx>
            <c:rich>
              <a:bodyPr rot="-5400000" spcFirstLastPara="1" vertOverflow="ellipsis" vert="horz" wrap="square" anchor="ctr" anchorCtr="1"/>
              <a:lstStyle/>
              <a:p>
                <a:pPr>
                  <a:defRPr sz="900" b="1" i="0" u="none" strike="noStrike" kern="1200" baseline="0">
                    <a:solidFill>
                      <a:schemeClr val="dk1">
                        <a:lumMod val="65000"/>
                        <a:lumOff val="35000"/>
                      </a:schemeClr>
                    </a:solidFill>
                    <a:latin typeface="+mn-lt"/>
                    <a:ea typeface="+mn-ea"/>
                    <a:cs typeface="+mn-cs"/>
                  </a:defRPr>
                </a:pPr>
                <a:r>
                  <a:rPr lang="en-US"/>
                  <a:t>Matrícula</a:t>
                </a:r>
                <a:r>
                  <a:rPr lang="en-US" baseline="0"/>
                  <a:t> de Primer Ingreso</a:t>
                </a:r>
                <a:endParaRPr lang="en-US"/>
              </a:p>
            </c:rich>
          </c:tx>
          <c:overlay val="0"/>
          <c:spPr>
            <a:noFill/>
            <a:ln>
              <a:noFill/>
            </a:ln>
            <a:effectLst/>
          </c:spPr>
          <c:txPr>
            <a:bodyPr rot="-5400000" spcFirstLastPara="1" vertOverflow="ellipsis" vert="horz" wrap="square" anchor="ctr" anchorCtr="1"/>
            <a:lstStyle/>
            <a:p>
              <a:pPr>
                <a:defRPr sz="900" b="1" i="0" u="none" strike="noStrike" kern="1200" baseline="0">
                  <a:solidFill>
                    <a:schemeClr val="dk1">
                      <a:lumMod val="65000"/>
                      <a:lumOff val="35000"/>
                    </a:schemeClr>
                  </a:solidFill>
                  <a:latin typeface="+mn-lt"/>
                  <a:ea typeface="+mn-ea"/>
                  <a:cs typeface="+mn-cs"/>
                </a:defRPr>
              </a:pPr>
              <a:endParaRPr lang="es-MX"/>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MX"/>
          </a:p>
        </c:txPr>
        <c:crossAx val="236348976"/>
        <c:crosses val="autoZero"/>
        <c:crossBetween val="between"/>
        <c:majorUnit val="3"/>
      </c:valAx>
      <c:spPr>
        <a:pattFill prst="ltDnDiag">
          <a:fgClr>
            <a:schemeClr val="dk1">
              <a:lumMod val="15000"/>
              <a:lumOff val="85000"/>
            </a:schemeClr>
          </a:fgClr>
          <a:bgClr>
            <a:schemeClr val="lt1"/>
          </a:bgClr>
        </a:pattFill>
        <a:ln>
          <a:noFill/>
        </a:ln>
        <a:effectLst/>
      </c:spPr>
    </c:plotArea>
    <c:legend>
      <c:legendPos val="r"/>
      <c:layout>
        <c:manualLayout>
          <c:xMode val="edge"/>
          <c:yMode val="edge"/>
          <c:x val="0.18148534558180229"/>
          <c:y val="0.88020778652668419"/>
          <c:w val="0.61018132108486434"/>
          <c:h val="0.1006955380577427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MX"/>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es-MX"/>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gradFill>
                <a:gsLst>
                  <a:gs pos="100000">
                    <a:schemeClr val="accent1">
                      <a:lumMod val="60000"/>
                      <a:lumOff val="40000"/>
                    </a:schemeClr>
                  </a:gs>
                  <a:gs pos="0">
                    <a:schemeClr val="accent1"/>
                  </a:gs>
                </a:gsLst>
                <a:lin ang="5400000" scaled="0"/>
              </a:gradFill>
              <a:ln w="19050">
                <a:solidFill>
                  <a:schemeClr val="lt1"/>
                </a:solidFill>
              </a:ln>
              <a:effectLst/>
            </c:spPr>
            <c:extLst>
              <c:ext xmlns:c16="http://schemas.microsoft.com/office/drawing/2014/chart" uri="{C3380CC4-5D6E-409C-BE32-E72D297353CC}">
                <c16:uniqueId val="{00000001-E9CC-4D30-A1F6-A351AED1400C}"/>
              </c:ext>
            </c:extLst>
          </c:dPt>
          <c:dPt>
            <c:idx val="1"/>
            <c:bubble3D val="0"/>
            <c:spPr>
              <a:gradFill>
                <a:gsLst>
                  <a:gs pos="100000">
                    <a:schemeClr val="accent2">
                      <a:lumMod val="60000"/>
                      <a:lumOff val="40000"/>
                    </a:schemeClr>
                  </a:gs>
                  <a:gs pos="0">
                    <a:schemeClr val="accent2"/>
                  </a:gs>
                </a:gsLst>
                <a:lin ang="5400000" scaled="0"/>
              </a:gradFill>
              <a:ln w="19050">
                <a:solidFill>
                  <a:schemeClr val="lt1"/>
                </a:solidFill>
              </a:ln>
              <a:effectLst/>
            </c:spPr>
            <c:extLst>
              <c:ext xmlns:c16="http://schemas.microsoft.com/office/drawing/2014/chart" uri="{C3380CC4-5D6E-409C-BE32-E72D297353CC}">
                <c16:uniqueId val="{00000003-E9CC-4D30-A1F6-A351AED1400C}"/>
              </c:ext>
            </c:extLst>
          </c:dPt>
          <c:dPt>
            <c:idx val="2"/>
            <c:bubble3D val="0"/>
            <c:spPr>
              <a:gradFill>
                <a:gsLst>
                  <a:gs pos="100000">
                    <a:schemeClr val="accent3">
                      <a:lumMod val="60000"/>
                      <a:lumOff val="40000"/>
                    </a:schemeClr>
                  </a:gs>
                  <a:gs pos="0">
                    <a:schemeClr val="accent3"/>
                  </a:gs>
                </a:gsLst>
                <a:lin ang="5400000" scaled="0"/>
              </a:gradFill>
              <a:ln w="19050">
                <a:solidFill>
                  <a:schemeClr val="lt1"/>
                </a:solidFill>
              </a:ln>
              <a:effectLst/>
            </c:spPr>
            <c:extLst>
              <c:ext xmlns:c16="http://schemas.microsoft.com/office/drawing/2014/chart" uri="{C3380CC4-5D6E-409C-BE32-E72D297353CC}">
                <c16:uniqueId val="{00000005-E9CC-4D30-A1F6-A351AED1400C}"/>
              </c:ext>
            </c:extLst>
          </c:dPt>
          <c:dPt>
            <c:idx val="3"/>
            <c:bubble3D val="0"/>
            <c:spPr>
              <a:gradFill>
                <a:gsLst>
                  <a:gs pos="100000">
                    <a:schemeClr val="accent4">
                      <a:lumMod val="60000"/>
                      <a:lumOff val="40000"/>
                    </a:schemeClr>
                  </a:gs>
                  <a:gs pos="0">
                    <a:schemeClr val="accent4"/>
                  </a:gs>
                </a:gsLst>
                <a:lin ang="5400000" scaled="0"/>
              </a:gradFill>
              <a:ln w="19050">
                <a:solidFill>
                  <a:schemeClr val="lt1"/>
                </a:solidFill>
              </a:ln>
              <a:effectLst/>
            </c:spPr>
            <c:extLst>
              <c:ext xmlns:c16="http://schemas.microsoft.com/office/drawing/2014/chart" uri="{C3380CC4-5D6E-409C-BE32-E72D297353CC}">
                <c16:uniqueId val="{00000007-E9CC-4D30-A1F6-A351AED1400C}"/>
              </c:ext>
            </c:extLst>
          </c:dPt>
          <c:dLbls>
            <c:dLbl>
              <c:idx val="0"/>
              <c:layout>
                <c:manualLayout>
                  <c:x val="7.6740266841644797E-2"/>
                  <c:y val="1.223643919510061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9CC-4D30-A1F6-A351AED1400C}"/>
                </c:ext>
              </c:extLst>
            </c:dLbl>
            <c:dLbl>
              <c:idx val="2"/>
              <c:layout>
                <c:manualLayout>
                  <c:x val="-7.7909558180227476E-2"/>
                  <c:y val="-1.170166229221347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E9CC-4D30-A1F6-A351AED1400C}"/>
                </c:ext>
              </c:extLst>
            </c:dLbl>
            <c:dLbl>
              <c:idx val="3"/>
              <c:layout>
                <c:manualLayout>
                  <c:x val="6.2124890638670166E-3"/>
                  <c:y val="-1.317512394284047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E9CC-4D30-A1F6-A351AED1400C}"/>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dk1">
                        <a:lumMod val="75000"/>
                        <a:lumOff val="25000"/>
                      </a:schemeClr>
                    </a:solidFill>
                    <a:latin typeface="+mn-lt"/>
                    <a:ea typeface="+mn-ea"/>
                    <a:cs typeface="+mn-cs"/>
                  </a:defRPr>
                </a:pPr>
                <a:endParaRPr lang="es-MX"/>
              </a:p>
            </c:txPr>
            <c:showLegendKey val="0"/>
            <c:showVal val="1"/>
            <c:showCatName val="0"/>
            <c:showSerName val="0"/>
            <c:showPercent val="0"/>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Hoja1!$K$15:$K$18</c:f>
              <c:strCache>
                <c:ptCount val="4"/>
                <c:pt idx="0">
                  <c:v>Servicios profesionales, financieros y corporativos</c:v>
                </c:pt>
                <c:pt idx="1">
                  <c:v>Servicios sociales</c:v>
                </c:pt>
                <c:pt idx="2">
                  <c:v>Gobierno y organismos internacionales</c:v>
                </c:pt>
                <c:pt idx="3">
                  <c:v>Otros</c:v>
                </c:pt>
              </c:strCache>
            </c:strRef>
          </c:cat>
          <c:val>
            <c:numRef>
              <c:f>Hoja1!$L$15:$L$18</c:f>
              <c:numCache>
                <c:formatCode>0.0%</c:formatCode>
                <c:ptCount val="4"/>
                <c:pt idx="0">
                  <c:v>3.9916300862010146E-2</c:v>
                </c:pt>
                <c:pt idx="1">
                  <c:v>0.91462915368344444</c:v>
                </c:pt>
                <c:pt idx="2">
                  <c:v>2.5485022858052632E-2</c:v>
                </c:pt>
                <c:pt idx="3">
                  <c:v>1.9969522596492761E-2</c:v>
                </c:pt>
              </c:numCache>
            </c:numRef>
          </c:val>
          <c:extLst>
            <c:ext xmlns:c16="http://schemas.microsoft.com/office/drawing/2014/chart" uri="{C3380CC4-5D6E-409C-BE32-E72D297353CC}">
              <c16:uniqueId val="{00000008-E9CC-4D30-A1F6-A351AED1400C}"/>
            </c:ext>
          </c:extLst>
        </c:ser>
        <c:dLbls>
          <c:showLegendKey val="0"/>
          <c:showVal val="0"/>
          <c:showCatName val="0"/>
          <c:showSerName val="0"/>
          <c:showPercent val="0"/>
          <c:showBubbleSize val="0"/>
          <c:showLeaderLines val="1"/>
        </c:dLbls>
        <c:firstSliceAng val="0"/>
      </c:pieChart>
      <c:spPr>
        <a:noFill/>
        <a:ln>
          <a:noFill/>
        </a:ln>
        <a:effectLst/>
      </c:spPr>
    </c:plotArea>
    <c:legend>
      <c:legendPos val="r"/>
      <c:overlay val="0"/>
      <c:spPr>
        <a:solidFill>
          <a:schemeClr val="lt1">
            <a:alpha val="50000"/>
          </a:schemeClr>
        </a:solidFill>
        <a:ln>
          <a:noFill/>
        </a:ln>
        <a:effectLst/>
      </c:spPr>
      <c:txPr>
        <a:bodyPr rot="0" spcFirstLastPara="1" vertOverflow="ellipsis" vert="horz" wrap="square" anchor="ctr" anchorCtr="1"/>
        <a:lstStyle/>
        <a:p>
          <a:pPr>
            <a:defRPr sz="1000" b="1" i="0" u="none" strike="noStrike" kern="1200" baseline="0">
              <a:solidFill>
                <a:schemeClr val="dk1">
                  <a:lumMod val="65000"/>
                  <a:lumOff val="35000"/>
                </a:schemeClr>
              </a:solidFill>
              <a:latin typeface="+mn-lt"/>
              <a:ea typeface="+mn-ea"/>
              <a:cs typeface="+mn-cs"/>
            </a:defRPr>
          </a:pPr>
          <a:endParaRPr lang="es-MX"/>
        </a:p>
      </c:txPr>
    </c:legend>
    <c:plotVisOnly val="1"/>
    <c:dispBlanksAs val="gap"/>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a:pPr>
      <a:endParaRPr lang="es-MX"/>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gradFill>
                <a:gsLst>
                  <a:gs pos="100000">
                    <a:schemeClr val="accent1">
                      <a:lumMod val="60000"/>
                      <a:lumOff val="40000"/>
                    </a:schemeClr>
                  </a:gs>
                  <a:gs pos="0">
                    <a:schemeClr val="accent1"/>
                  </a:gs>
                </a:gsLst>
                <a:lin ang="5400000" scaled="0"/>
              </a:gradFill>
              <a:ln w="19050">
                <a:solidFill>
                  <a:schemeClr val="lt1"/>
                </a:solidFill>
              </a:ln>
              <a:effectLst/>
            </c:spPr>
            <c:extLst>
              <c:ext xmlns:c16="http://schemas.microsoft.com/office/drawing/2014/chart" uri="{C3380CC4-5D6E-409C-BE32-E72D297353CC}">
                <c16:uniqueId val="{00000001-1677-4CC2-9FBE-2FE5A68BA165}"/>
              </c:ext>
            </c:extLst>
          </c:dPt>
          <c:dPt>
            <c:idx val="1"/>
            <c:bubble3D val="0"/>
            <c:spPr>
              <a:gradFill>
                <a:gsLst>
                  <a:gs pos="100000">
                    <a:schemeClr val="accent2">
                      <a:lumMod val="60000"/>
                      <a:lumOff val="40000"/>
                    </a:schemeClr>
                  </a:gs>
                  <a:gs pos="0">
                    <a:schemeClr val="accent2"/>
                  </a:gs>
                </a:gsLst>
                <a:lin ang="5400000" scaled="0"/>
              </a:gradFill>
              <a:ln w="19050">
                <a:solidFill>
                  <a:schemeClr val="lt1"/>
                </a:solidFill>
              </a:ln>
              <a:effectLst/>
            </c:spPr>
            <c:extLst>
              <c:ext xmlns:c16="http://schemas.microsoft.com/office/drawing/2014/chart" uri="{C3380CC4-5D6E-409C-BE32-E72D297353CC}">
                <c16:uniqueId val="{00000003-1677-4CC2-9FBE-2FE5A68BA165}"/>
              </c:ext>
            </c:extLst>
          </c:dPt>
          <c:dPt>
            <c:idx val="2"/>
            <c:bubble3D val="0"/>
            <c:spPr>
              <a:gradFill>
                <a:gsLst>
                  <a:gs pos="100000">
                    <a:schemeClr val="accent3">
                      <a:lumMod val="60000"/>
                      <a:lumOff val="40000"/>
                    </a:schemeClr>
                  </a:gs>
                  <a:gs pos="0">
                    <a:schemeClr val="accent3"/>
                  </a:gs>
                </a:gsLst>
                <a:lin ang="5400000" scaled="0"/>
              </a:gradFill>
              <a:ln w="19050">
                <a:solidFill>
                  <a:schemeClr val="lt1"/>
                </a:solidFill>
              </a:ln>
              <a:effectLst/>
            </c:spPr>
            <c:extLst>
              <c:ext xmlns:c16="http://schemas.microsoft.com/office/drawing/2014/chart" uri="{C3380CC4-5D6E-409C-BE32-E72D297353CC}">
                <c16:uniqueId val="{00000005-1677-4CC2-9FBE-2FE5A68BA165}"/>
              </c:ext>
            </c:extLst>
          </c:dPt>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dk1">
                        <a:lumMod val="75000"/>
                        <a:lumOff val="25000"/>
                      </a:schemeClr>
                    </a:solidFill>
                    <a:latin typeface="+mn-lt"/>
                    <a:ea typeface="+mn-ea"/>
                    <a:cs typeface="+mn-cs"/>
                  </a:defRPr>
                </a:pPr>
                <a:endParaRPr lang="es-MX"/>
              </a:p>
            </c:txPr>
            <c:showLegendKey val="0"/>
            <c:showVal val="1"/>
            <c:showCatName val="0"/>
            <c:showSerName val="0"/>
            <c:showPercent val="0"/>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Hoja1!$L$30:$L$32</c:f>
              <c:strCache>
                <c:ptCount val="3"/>
                <c:pt idx="0">
                  <c:v>Trabajadores subordinados y remunerados</c:v>
                </c:pt>
                <c:pt idx="1">
                  <c:v>Empleadores</c:v>
                </c:pt>
                <c:pt idx="2">
                  <c:v>Trabajadores por cuenta propia</c:v>
                </c:pt>
              </c:strCache>
            </c:strRef>
          </c:cat>
          <c:val>
            <c:numRef>
              <c:f>Hoja1!$M$30:$M$32</c:f>
              <c:numCache>
                <c:formatCode>0.0%</c:formatCode>
                <c:ptCount val="3"/>
                <c:pt idx="0" formatCode="0%">
                  <c:v>0.69039205788322411</c:v>
                </c:pt>
                <c:pt idx="1">
                  <c:v>0.15294183633406247</c:v>
                </c:pt>
                <c:pt idx="2">
                  <c:v>0.15201076897189972</c:v>
                </c:pt>
              </c:numCache>
            </c:numRef>
          </c:val>
          <c:extLst>
            <c:ext xmlns:c16="http://schemas.microsoft.com/office/drawing/2014/chart" uri="{C3380CC4-5D6E-409C-BE32-E72D297353CC}">
              <c16:uniqueId val="{00000006-1677-4CC2-9FBE-2FE5A68BA165}"/>
            </c:ext>
          </c:extLst>
        </c:ser>
        <c:dLbls>
          <c:showLegendKey val="0"/>
          <c:showVal val="0"/>
          <c:showCatName val="0"/>
          <c:showSerName val="0"/>
          <c:showPercent val="0"/>
          <c:showBubbleSize val="0"/>
          <c:showLeaderLines val="1"/>
        </c:dLbls>
        <c:firstSliceAng val="0"/>
      </c:pieChart>
      <c:spPr>
        <a:noFill/>
        <a:ln>
          <a:noFill/>
        </a:ln>
        <a:effectLst/>
      </c:spPr>
    </c:plotArea>
    <c:legend>
      <c:legendPos val="r"/>
      <c:layout>
        <c:manualLayout>
          <c:xMode val="edge"/>
          <c:yMode val="edge"/>
          <c:x val="0.64527712160979878"/>
          <c:y val="0.20660578885972586"/>
          <c:w val="0.33805621172353456"/>
          <c:h val="0.66549176144648581"/>
        </c:manualLayout>
      </c:layout>
      <c:overlay val="0"/>
      <c:spPr>
        <a:solidFill>
          <a:schemeClr val="lt1">
            <a:alpha val="50000"/>
          </a:schemeClr>
        </a:solidFill>
        <a:ln>
          <a:noFill/>
        </a:ln>
        <a:effectLst/>
      </c:spPr>
      <c:txPr>
        <a:bodyPr rot="0" spcFirstLastPara="1" vertOverflow="ellipsis" vert="horz" wrap="square" anchor="ctr" anchorCtr="1"/>
        <a:lstStyle/>
        <a:p>
          <a:pPr>
            <a:defRPr sz="1000" b="1" i="0" u="none" strike="noStrike" kern="1200" baseline="0">
              <a:solidFill>
                <a:schemeClr val="dk1">
                  <a:lumMod val="65000"/>
                  <a:lumOff val="35000"/>
                </a:schemeClr>
              </a:solidFill>
              <a:latin typeface="+mn-lt"/>
              <a:ea typeface="+mn-ea"/>
              <a:cs typeface="+mn-cs"/>
            </a:defRPr>
          </a:pPr>
          <a:endParaRPr lang="es-MX"/>
        </a:p>
      </c:txPr>
    </c:legend>
    <c:plotVisOnly val="1"/>
    <c:dispBlanksAs val="gap"/>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a:pPr>
      <a:endParaRPr lang="es-MX"/>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1">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2.xml><?xml version="1.0" encoding="utf-8"?>
<cs:chartStyle xmlns:cs="http://schemas.microsoft.com/office/drawing/2012/chartStyle" xmlns:a="http://schemas.openxmlformats.org/drawingml/2006/main" id="232">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alpha val="54000"/>
          </a:schemeClr>
        </a:solidFill>
        <a:round/>
      </a:ln>
    </cs:spPr>
  </cs:gridlineMajor>
  <cs:gridlineMinor>
    <cs:lnRef idx="0"/>
    <cs:fillRef idx="0"/>
    <cs:effectRef idx="0"/>
    <cs:fontRef idx="minor">
      <a:schemeClr val="dk1"/>
    </cs:fontRef>
    <cs:spPr>
      <a:ln w="9525" cap="flat" cmpd="sng" algn="ctr">
        <a:solidFill>
          <a:schemeClr val="dk1">
            <a:lumMod val="15000"/>
            <a:lumOff val="85000"/>
            <a:alpha val="51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3.xml><?xml version="1.0" encoding="utf-8"?>
<cs:chartStyle xmlns:cs="http://schemas.microsoft.com/office/drawing/2012/chartStyle" xmlns:a="http://schemas.openxmlformats.org/drawingml/2006/main" id="232">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alpha val="54000"/>
          </a:schemeClr>
        </a:solidFill>
        <a:round/>
      </a:ln>
    </cs:spPr>
  </cs:gridlineMajor>
  <cs:gridlineMinor>
    <cs:lnRef idx="0"/>
    <cs:fillRef idx="0"/>
    <cs:effectRef idx="0"/>
    <cs:fontRef idx="minor">
      <a:schemeClr val="dk1"/>
    </cs:fontRef>
    <cs:spPr>
      <a:ln w="9525" cap="flat" cmpd="sng" algn="ctr">
        <a:solidFill>
          <a:schemeClr val="dk1">
            <a:lumMod val="15000"/>
            <a:lumOff val="85000"/>
            <a:alpha val="51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4.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5.xml><?xml version="1.0" encoding="utf-8"?>
<cs:chartStyle xmlns:cs="http://schemas.microsoft.com/office/drawing/2012/chartStyle" xmlns:a="http://schemas.openxmlformats.org/drawingml/2006/main" id="232">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alpha val="54000"/>
          </a:schemeClr>
        </a:solidFill>
        <a:round/>
      </a:ln>
    </cs:spPr>
  </cs:gridlineMajor>
  <cs:gridlineMinor>
    <cs:lnRef idx="0"/>
    <cs:fillRef idx="0"/>
    <cs:effectRef idx="0"/>
    <cs:fontRef idx="minor">
      <a:schemeClr val="dk1"/>
    </cs:fontRef>
    <cs:spPr>
      <a:ln w="9525" cap="flat" cmpd="sng" algn="ctr">
        <a:solidFill>
          <a:schemeClr val="dk1">
            <a:lumMod val="15000"/>
            <a:lumOff val="85000"/>
            <a:alpha val="51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6.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D9CF54A29AA34DAD05ADAB2F097DB2" ma:contentTypeVersion="11" ma:contentTypeDescription="Create a new document." ma:contentTypeScope="" ma:versionID="dc82315b1b9dc30338d6172b92344c76">
  <xsd:schema xmlns:xsd="http://www.w3.org/2001/XMLSchema" xmlns:xs="http://www.w3.org/2001/XMLSchema" xmlns:p="http://schemas.microsoft.com/office/2006/metadata/properties" xmlns:ns3="081f926e-ea0b-4a6d-a67a-1151b9ea75fb" xmlns:ns4="f4c5b67c-4878-4e9c-9ee4-d1e9c4441b85" targetNamespace="http://schemas.microsoft.com/office/2006/metadata/properties" ma:root="true" ma:fieldsID="f33c410212ec4f6bacd6199f2cc4ea5b" ns3:_="" ns4:_="">
    <xsd:import namespace="081f926e-ea0b-4a6d-a67a-1151b9ea75fb"/>
    <xsd:import namespace="f4c5b67c-4878-4e9c-9ee4-d1e9c4441b8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1f926e-ea0b-4a6d-a67a-1151b9ea75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c5b67c-4878-4e9c-9ee4-d1e9c4441b8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FCC319-AC93-4F34-AF2B-A06755AF95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1f926e-ea0b-4a6d-a67a-1151b9ea75fb"/>
    <ds:schemaRef ds:uri="f4c5b67c-4878-4e9c-9ee4-d1e9c4441b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456986-83FE-4BB6-8A8E-5D9B12F19D63}">
  <ds:schemaRefs>
    <ds:schemaRef ds:uri="http://schemas.microsoft.com/sharepoint/v3/contenttype/forms"/>
  </ds:schemaRefs>
</ds:datastoreItem>
</file>

<file path=customXml/itemProps3.xml><?xml version="1.0" encoding="utf-8"?>
<ds:datastoreItem xmlns:ds="http://schemas.openxmlformats.org/officeDocument/2006/customXml" ds:itemID="{F79ADA8D-CEB3-4027-A9E1-463EA26C70E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E16D362-629F-4482-99D8-8BACFECF4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17453</Words>
  <Characters>95994</Characters>
  <Application>Microsoft Office Word</Application>
  <DocSecurity>0</DocSecurity>
  <Lines>799</Lines>
  <Paragraphs>226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Aram Isai Ramos</dc:creator>
  <cp:lastModifiedBy>Marcela Villafuerte</cp:lastModifiedBy>
  <cp:revision>3</cp:revision>
  <dcterms:created xsi:type="dcterms:W3CDTF">2019-08-14T18:37:00Z</dcterms:created>
  <dcterms:modified xsi:type="dcterms:W3CDTF">2019-08-14T18:37:00Z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0x0101009DD9CF54A29AA34DAD05ADAB2F097DB2</vt:lpwstr>
  </property>
</Properties>
</file>